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SteuerHBekV</w:t>
      </w:r>
    </w:p>
    <w:p>
      <w:r>
        <w:rPr>
          <w:color w:val="555555"/>
          <w:sz w:val="18"/>
        </w:rPr>
        <w:t xml:space="preserve">Steuerhinterziehungsbekämpfungsverordnung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Auf Grund des § 51 Absatz 1 Nummer 1 Buchstabe f des Einkommensteuergesetzes, des § 33 Absatz 1 Nummer 2 Buchstabe e des Körperschaftsteuergesetzes und des Artikels 97 § 22 Absatz 2 des Einführungsgesetzes zur Abgabenordnung, von denen § 51 Absatz 1 Nummer 1 Buchstabe f des Einkommensteuergesetzes durch Artikel 1, § 33 Absatz 1 Nummer 2 Buchstabe e des Körperschaftsteuergesetzes durch Artikel 2 und Artikel 97 § 22 Absatz 2 des Einführungsgesetzes zur Abgabenordnung durch Artikel 4 des Gesetzes vom 29. Juli 2009 (BGBl. I S. 2302) eingefügt worden ist, verordnet die Bundesregierung:</w:t>
      </w:r>
    </w:p>
    <w:p>
      <w:r>
        <w:rPr>
          <w:color w:val="555555"/>
          <w:sz w:val="17"/>
        </w:rPr>
        <w:t xml:space="preserve">Zitiervorschlag: Eingangsformel SteuerHBekV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https://recht.nulegal.eu/gesetze/SteuerHBekV/eingangsformel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