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SteuerHBekV — Versagung der Steuerbefreiung nach § 8b Absatz 1 Satz 1 und Absatz 2 Satz 1 des Körperschaftsteuergesetzes</w:t>
      </w:r>
    </w:p>
    <w:p>
      <w:r>
        <w:rPr>
          <w:color w:val="555555"/>
          <w:sz w:val="18"/>
        </w:rPr>
        <w:t xml:space="preserve">Steuerhinterziehungsbekämpfungsverordnung</w:t>
      </w:r>
    </w:p>
    <w:p>
      <w:r>
        <w:rPr>
          <w:color w:val="555555"/>
          <w:sz w:val="18"/>
        </w:rPr>
        <w:t xml:space="preserve">Historische Fassung: Stand 10.06.2019 bis 01.07.2021. Dies ist nicht die aktuelle Fassung.</w:t>
      </w:r>
    </w:p>
    <w:p>
      <w:r>
        <w:t xml:space="preserve">Wenn die in § 1 Absatz 2 oder Absatz 5 genannten besonderen Mitwirkungs- und Aufzeichnungspflichten nicht erfüllt werden, sind auf Vorgänge im Sinne des § 33 Absatz 1 Nummer 2 Buchstabe e Satz 1 des Körperschaftsteuergesetzes folgende Vorschriften nicht anzuwenden:</w:t>
      </w:r>
    </w:p>
    <w:p>
      <w:pPr>
        <w:ind w:left="420"/>
      </w:pPr>
      <w:r>
        <w:t xml:space="preserve">1. die Vorschriften über die Steuerbefreiung nach § 8b Absatz 1 Satz 1 und Absatz 2 Satz 1 des Körperschaftsteuergesetzes sowie</w:t>
      </w:r>
    </w:p>
    <w:p>
      <w:pPr>
        <w:ind w:left="420"/>
      </w:pPr>
      <w:r>
        <w:t xml:space="preserve">2. vergleichbare Vorschriften in Abkommen zur Vermeidung der Doppelbesteuerung.</w:t>
      </w:r>
    </w:p>
    <w:p>
      <w:r>
        <w:t xml:space="preserve">Das gilt nicht, soweit eine der Voraussetzungen des § 33 Absatz 1 Nummer 2 Buchstabe e Satz 3 des Körperschaftsteuergesetzes erfüllt ist.</w:t>
      </w:r>
    </w:p>
    <w:p>
      <w:r>
        <w:rPr>
          <w:color w:val="555555"/>
          <w:sz w:val="17"/>
        </w:rPr>
        <w:t xml:space="preserve">Zitiervorschlag: § 4 SteuerHBekV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https://recht.nulegal.eu/gesetze/SteuerHBekV/4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