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SteuerHBekV — Versagung der Entlastung vom Steuerabzug</w:t>
      </w:r>
    </w:p>
    <w:p>
      <w:r>
        <w:rPr>
          <w:color w:val="555555"/>
          <w:sz w:val="18"/>
        </w:rPr>
        <w:t xml:space="preserve">Steuerhinterziehungsbekämpfungsverordnung</w:t>
      </w:r>
    </w:p>
    <w:p>
      <w:r>
        <w:rPr>
          <w:color w:val="555555"/>
          <w:sz w:val="18"/>
        </w:rPr>
        <w:t xml:space="preserve">Historische Fassung: Stand 10.06.2019 bis 01.07.2021. Dies ist nicht die aktuelle Fassung.</w:t>
      </w:r>
    </w:p>
    <w:p>
      <w:r>
        <w:t xml:space="preserve">Hat eine ausländische Gesellschaft Anspruch auf völlige oder teilweise Entlastung vom Steuerabzug nach § 50d Absatz 1 und 2 oder § 44a Absatz 9 des Einkommensteuergesetzes und sind an dieser Gesellschaft unmittelbar oder mittelbar natürliche Personen beteiligt, deren Anteil an ihr 10 Prozent übersteigt, wird diese Entlastung ungeachtet des § 50d Absatz 3 des Einkommensteuergesetzes nur gewährt,</w:t>
      </w:r>
    </w:p>
    <w:p>
      <w:pPr>
        <w:ind w:left="420"/>
      </w:pPr>
      <w:r>
        <w:t xml:space="preserve">1. wenn die Gesellschaft den Namen und die Ansässigkeit der natürlichen Personen offen legt,</w:t>
      </w:r>
    </w:p>
    <w:p>
      <w:pPr>
        <w:ind w:left="420"/>
      </w:pPr>
      <w:r>
        <w:t xml:space="preserve">2. soweit keine der Voraussetzungen des § 51 Absatz 1 Nummer 1 Buchstabe f Satz 2 des Einkommensteuergesetzes erfüllt ist.</w:t>
      </w:r>
    </w:p>
    <w:p>
      <w:r>
        <w:t xml:space="preserve">Die Finanzbehörde kann für diese Personen eine Bestätigung nach § 50d Absatz 4 des Einkommensteuergesetzes verlangen.</w:t>
      </w:r>
    </w:p>
    <w:p>
      <w:r>
        <w:rPr>
          <w:color w:val="555555"/>
          <w:sz w:val="17"/>
        </w:rPr>
        <w:t xml:space="preserve">Zitiervorschlag: § 2 SteuerHBekV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https://recht.nulegal.eu/gesetze/SteuerHBekV/2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