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StepVG — Aufsicht über die Stiftung; Berichtspflicht</w:t>
      </w:r>
    </w:p>
    <w:p>
      <w:r>
        <w:rPr>
          <w:color w:val="555555"/>
          <w:sz w:val="18"/>
        </w:rPr>
        <w:t xml:space="preserve">Gesetz über die Stiftung für ehemalige politisch Verfolgte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Stiftung untersteht hinsichtlich ihrer Aufgaben nach § 2 Absatz 1 Nummer 2 der Rechtsaufsicht des Bundesministeriums der Justiz. Im Übrigen untersteht die Stiftung der Rechtsaufsicht der oder des Bundesbeauftragten für die Opfer der SED-Diktatur beim Deutschen Bundestag.</w:t>
      </w:r>
    </w:p>
    <w:p>
      <w:r>
        <w:t xml:space="preserve">(2) Die oder der Bundesbeauftragte für die Opfer der SED-Diktatur beim Deutschen Bundestag berichtet dem Deutschen Bundestag in dem Gesamtbericht gemäß § 2 Absatz 1 Satz 1 des SED-Opferbeauftragtengesetzes über die Rechtsaufsicht nach Absatz 1 Satz 2.</w:t>
      </w:r>
    </w:p>
    <w:p>
      <w:r>
        <w:rPr>
          <w:color w:val="555555"/>
          <w:sz w:val="17"/>
        </w:rPr>
        <w:t xml:space="preserve">Zitiervorschlag: § 9 StepVG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https://recht.nulegal.eu/gesetze/StepVG/9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