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StepVG — Stiftungsorgane</w:t>
      </w:r>
    </w:p>
    <w:p>
      <w:r>
        <w:rPr>
          <w:color w:val="555555"/>
          <w:sz w:val="18"/>
        </w:rPr>
        <w:t xml:space="preserve">Gesetz über die Stiftung für ehemalige politisch Verfolgte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Organe der Stiftung sind</w:t>
      </w:r>
    </w:p>
    <w:p>
      <w:pPr>
        <w:ind w:left="420"/>
      </w:pPr>
      <w:r>
        <w:t xml:space="preserve">1. der Stiftungsrat und</w:t>
      </w:r>
    </w:p>
    <w:p>
      <w:pPr>
        <w:ind w:left="420"/>
      </w:pPr>
      <w:r>
        <w:t xml:space="preserve">2. der Stiftungsvorstand.</w:t>
      </w:r>
    </w:p>
    <w:p>
      <w:r>
        <w:t xml:space="preserve">(2) Die Mitglieder der Organe werden ehrenamtlich tätig; sie haben Anspruch auf Ersatz ihrer notwendigen Auslagen.</w:t>
      </w:r>
    </w:p>
    <w:p>
      <w:r>
        <w:rPr>
          <w:color w:val="555555"/>
          <w:sz w:val="17"/>
        </w:rPr>
        <w:t xml:space="preserve">Zitiervorschlag: § 4 StepVG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https://recht.nulegal.eu/gesetze/StepVG/4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