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StepVG — Finanzierung der Stiftung</w:t>
      </w:r>
    </w:p>
    <w:p>
      <w:r>
        <w:rPr>
          <w:color w:val="555555"/>
          <w:sz w:val="18"/>
        </w:rPr>
        <w:t xml:space="preserve">Gesetz über die Stiftung für ehemalige politisch Verfolgte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Einlagen in das Stiftungsvermögen sind zulässig.</w:t>
      </w:r>
    </w:p>
    <w:p>
      <w:r>
        <w:t xml:space="preserve">(2) Die Verwaltungskosten der Stiftung trägt der Bund. Sie sind im Einzelplan des Deutschen Bundestages in dem Kapitel über die Bundesbeauftragte oder den Bundesbeauftragten für die Opfer der SED-Diktatur beim Deutschen Bundestag auszuweisen.</w:t>
      </w:r>
    </w:p>
    <w:p>
      <w:r>
        <w:t xml:space="preserve">(3) Die Stiftung ist berechtigt, Mittel von dritter Seite anzunehmen. Diese Mittel können für Unterstützungsleistungen auf der Grundlage einer von der oder dem Bundesbeauftragten für die Opfer der SED-Diktatur beim Deutschen Bundestag erlassenen Richtlinie verwendet werden.</w:t>
      </w:r>
    </w:p>
    <w:p>
      <w:r>
        <w:rPr>
          <w:color w:val="555555"/>
          <w:sz w:val="17"/>
        </w:rPr>
        <w:t xml:space="preserve">Zitiervorschlag: § 3 StepVG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https://recht.nulegal.eu/gesetze/StepVG/3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