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StepVG — Aufhebung der Stiftung</w:t>
      </w:r>
    </w:p>
    <w:p>
      <w:r>
        <w:rPr>
          <w:color w:val="555555"/>
          <w:sz w:val="18"/>
        </w:rPr>
        <w:t xml:space="preserve">Gesetz über die Stiftung für ehemalige politisch Verfolgte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Bei der Aufhebung der Stiftung vorhandenes Vermögen fließt dem Bund zu.</w:t>
      </w:r>
    </w:p>
    <w:p>
      <w:r>
        <w:rPr>
          <w:color w:val="555555"/>
          <w:sz w:val="17"/>
        </w:rPr>
        <w:t xml:space="preserve">Zitiervorschlag: § 10 StepVG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https://recht.nulegal.eu/gesetze/StepVG/10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