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SteinkohleFinG — Bußgeldvorschriften</w:t>
      </w:r>
    </w:p>
    <w:p>
      <w:r>
        <w:rPr>
          <w:color w:val="555555"/>
          <w:sz w:val="18"/>
        </w:rPr>
        <w:t xml:space="preserve">Steinkohlefinanzierungsgesetz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6 Abs. 1 eine Auskunft nicht, nicht richtig, nicht vollständig oder nicht rechtzeitig erteilt oder eine Unterlage nicht, nicht richtig, nicht vollständig oder nicht rechtzeitig vorlegt,</w:t>
      </w:r>
    </w:p>
    <w:p>
      <w:pPr>
        <w:ind w:left="420"/>
      </w:pPr>
      <w:r>
        <w:t xml:space="preserve">2. entgegen § 6 Abs. 2 Satz 1 oder Abs. 3 eine Meldung nicht, nicht richtig, nicht vollständig, nicht in der vorgeschriebenen Weise oder nicht rechtzeitig macht,</w:t>
      </w:r>
    </w:p>
    <w:p>
      <w:pPr>
        <w:ind w:left="420"/>
      </w:pPr>
      <w:r>
        <w:t xml:space="preserve">3. entgegen § 6 Abs. 4 Satz 1 Unterlagen nicht oder nicht mindestens sieben Jahre aufbewahrt oder</w:t>
      </w:r>
    </w:p>
    <w:p>
      <w:pPr>
        <w:ind w:left="420"/>
      </w:pPr>
      <w:r>
        <w:t xml:space="preserve">4. entgegen § 6 Abs. 5 Satz 2 eine der dort genannten Maßnahmen nicht duldet.</w:t>
      </w:r>
    </w:p>
    <w:p>
      <w:r>
        <w:t xml:space="preserve">(2) Die Ordnungswidrigkeit kann mit einer Geldbuße von bis zu zehntausend Euro geahndet werden.</w:t>
      </w:r>
    </w:p>
    <w:p>
      <w:r>
        <w:t xml:space="preserve">(3) Verwaltungsbehörde im Sinne des § 36 Abs. 1 Nr. 1 des Gesetzes über Ordnungswidrigkeiten ist das Bundesamt.</w:t>
      </w:r>
    </w:p>
    <w:p>
      <w:r>
        <w:rPr>
          <w:color w:val="555555"/>
          <w:sz w:val="17"/>
        </w:rPr>
        <w:t xml:space="preserve">Zitiervorschlag: § 7 SteinkohleFinG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https://recht.nulegal.eu/gesetze/SteinkohleFinG/7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