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SteinkohleFinG — Begriffsbestimmungen</w:t>
      </w:r>
    </w:p>
    <w:p>
      <w:r>
        <w:rPr>
          <w:color w:val="555555"/>
          <w:sz w:val="18"/>
        </w:rPr>
        <w:t xml:space="preserve">Steinkohlefinanzierungsgesetz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ein Kraftwerk eine Anlage zur Erzeugung elektrischer Energie mittels Dampf oder Dampf und Gas oder Verbrennungsmotoren; unerheblich ist es, ob der Dampf oder das Gas in einer Turbo-Generatoren-Anlage völlig zur Stromerzeugung ausgenutzt oder nach nur teilweiser Ausnutzung für andere Zwecke, zum Beispiel für Heiz- und Fabrikationsdampf, genutzt wird,</w:t>
      </w:r>
    </w:p>
    <w:p>
      <w:pPr>
        <w:ind w:left="420"/>
      </w:pPr>
      <w:r>
        <w:t xml:space="preserve">2. Drittlandskohle die außerhalb des Bereichs der Europäischen Union gewonnene Steinkohle.</w:t>
      </w:r>
    </w:p>
    <w:p>
      <w:r>
        <w:rPr>
          <w:color w:val="555555"/>
          <w:sz w:val="17"/>
        </w:rPr>
        <w:t xml:space="preserve">Zitiervorschlag: § 2 SteinkohleFinG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https://recht.nulegal.eu/gesetze/SteinkohleFinG/2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