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SteinkohleFinG — Zweck</w:t>
      </w:r>
    </w:p>
    <w:p>
      <w:r>
        <w:rPr>
          <w:color w:val="555555"/>
          <w:sz w:val="18"/>
        </w:rPr>
        <w:t xml:space="preserve">Steinkohlefinanzierungsgesetz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subventionierte Förderung der Steinkohle in Deutschland wird zum Ende des Jahres 2018 beendet.</w:t>
      </w:r>
    </w:p>
    <w:p>
      <w:r>
        <w:t xml:space="preserve">(2) Dieses Gesetz dient der Finanzierung</w:t>
      </w:r>
    </w:p>
    <w:p>
      <w:pPr>
        <w:ind w:left="420"/>
      </w:pPr>
      <w:r>
        <w:t xml:space="preserve">a) des Absatzes deutscher Steinkohle für den Einsatz in Kraftwerken und zur Stahlerzeugung im Hochofenprozess bis zum Jahr 2018,</w:t>
      </w:r>
    </w:p>
    <w:p>
      <w:pPr>
        <w:ind w:left="420"/>
      </w:pPr>
      <w:r>
        <w:t xml:space="preserve">b) der Aufwendungen der Bergbauunternehmen infolge dauerhafter Stilllegungen,</w:t>
      </w:r>
    </w:p>
    <w:p>
      <w:pPr>
        <w:ind w:left="420"/>
      </w:pPr>
      <w:r>
        <w:t xml:space="preserve">c) der ab dem Zeitpunkt der Beendigung des subventionierten Steinkohlenbergbaus weiter bestehenden Verpflichtungen der Bergbauunternehmen und</w:t>
      </w:r>
    </w:p>
    <w:p>
      <w:pPr>
        <w:ind w:left="420"/>
      </w:pPr>
      <w:r>
        <w:t xml:space="preserve">d) des sozialverträglichen Anpassungsprozesses für ältere Arbeitnehmer des deutschen Steinkohlenbergbaus.</w:t>
      </w:r>
    </w:p>
    <w:p>
      <w:r>
        <w:t xml:space="preserve">(3) Ansprüche auf Zuschusszahlungen werden durch dieses Gesetz nicht begründet.</w:t>
      </w:r>
    </w:p>
    <w:p>
      <w:r>
        <w:rPr>
          <w:color w:val="555555"/>
          <w:sz w:val="17"/>
        </w:rPr>
        <w:t xml:space="preserve">Zitiervorschlag: § 1 SteinkohleFinG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https://recht.nulegal.eu/gesetze/SteinkohleFinG/1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