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StatRegG</w:t>
      </w:r>
    </w:p>
    <w:p>
      <w:r>
        <w:rPr>
          <w:color w:val="555555"/>
          <w:sz w:val="18"/>
        </w:rPr>
        <w:t xml:space="preserve">Statistikregistergesetz</w:t>
      </w:r>
    </w:p>
    <w:p>
      <w:r>
        <w:rPr>
          <w:color w:val="555555"/>
          <w:sz w:val="18"/>
        </w:rPr>
        <w:t xml:space="preserve">Stand: 10.06.2019 (konsolidierte Textfassung, kein amtliches Inkrafttretensdatum)</w:t>
      </w:r>
    </w:p>
    <w:p>
      <w:r>
        <w:t xml:space="preserve">(1) Soweit Rechtsvorschriften des Bundes, die eine Wirtschafts- oder Umweltstatistik anordnen, Erhebungsmerkmale bestimmt haben, die Merkmalen im Statistikregister entsprechen, dürfen die statistischen Ämter der Länder und das Statistische Bundesamt Angaben zu diesen Merkmalen aus dem Statistikregister übernehmen und insoweit von einer Erhebung absehen.</w:t>
      </w:r>
    </w:p>
    <w:p>
      <w:r>
        <w:t xml:space="preserve">(2) Daten aus dem Statistikregister dürfen mit anderen Daten nach den Vorgaben des § 13a des Bundesstatistikgesetzes zusammengeführt werden.</w:t>
      </w:r>
    </w:p>
    <w:p>
      <w:r>
        <w:rPr>
          <w:color w:val="555555"/>
          <w:sz w:val="17"/>
        </w:rPr>
        <w:t xml:space="preserve">Zitiervorschlag: § 8 StatRegG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https://recht.nulegal.eu/gesetze/StatRegG/8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