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Soweit es für den Aufbau und die Führung des Statistikregisters erforderlich ist, übermitteln Berufsverbände und nicht in den §§ 4 und 5 genannte Kammern von ihren Mitgliedern und deren Einheiten abweichend von § 1 Absatz 2 Satz 1 auf Anforderung einmalig oder in mehrjährigen Abständen folgende Angaben:</w:t>
      </w:r>
    </w:p>
    <w:p>
      <w:pPr>
        <w:ind w:left="420"/>
      </w:pPr>
      <w:r>
        <w:t xml:space="preserve">1. Name oder Firma sowie Anschrift einschließlich Gemeindeschlüssel,</w:t>
      </w:r>
    </w:p>
    <w:p>
      <w:pPr>
        <w:ind w:left="420"/>
      </w:pPr>
      <w:r>
        <w:t xml:space="preserve">2. Rechtsform,</w:t>
      </w:r>
    </w:p>
    <w:p>
      <w:pPr>
        <w:ind w:left="420"/>
      </w:pPr>
      <w:r>
        <w:t xml:space="preserve">3. Art der Tätigkeit.</w:t>
      </w:r>
    </w:p>
    <w:p>
      <w:r>
        <w:rPr>
          <w:color w:val="555555"/>
          <w:sz w:val="17"/>
        </w:rPr>
        <w:t xml:space="preserve">Zitiervorschlag: § 6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