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StatRegG</w:t>
      </w:r>
    </w:p>
    <w:p>
      <w:r>
        <w:rPr>
          <w:color w:val="555555"/>
          <w:sz w:val="18"/>
        </w:rPr>
        <w:t xml:space="preserve">Statistikregistergesetz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Handwerkskammern übermitteln von den Kammerzugehörigen ihres Bezirks folgende Angaben:</w:t>
      </w:r>
    </w:p>
    <w:p>
      <w:pPr>
        <w:ind w:left="420"/>
      </w:pPr>
      <w:r>
        <w:t xml:space="preserve">1. Name oder Firma, bei rechtsfähigen Gesellschaften des Bürgerlichen Rechts die Bezeichnung, unter der sie das Handwerk oder das handwerksähnliche Gewerbe betreiben, sowie Anschrift der gewerblichen Hauptniederlassung einschließlich Gemeindeschlüssel,</w:t>
      </w:r>
    </w:p>
    <w:p>
      <w:pPr>
        <w:ind w:left="420"/>
      </w:pPr>
      <w:r>
        <w:t xml:space="preserve">2. Rechtsform,</w:t>
      </w:r>
    </w:p>
    <w:p>
      <w:pPr>
        <w:ind w:left="420"/>
      </w:pPr>
      <w:r>
        <w:t xml:space="preserve">3. Zeitpunkt der Eintragung in die Handwerksrolle oder in das Verzeichnis der Inhaber eines Betriebes eines zulassungsfreien Handwerks oder eines handwerksähnlichen Gewerbes,</w:t>
      </w:r>
    </w:p>
    <w:p>
      <w:pPr>
        <w:ind w:left="420"/>
      </w:pPr>
      <w:r>
        <w:t xml:space="preserve">4. für Handwerksbetriebe gemäß § 1 der Handwerksordnung: Eintragungsgrund nach den §§ 7 und 119 der Handwerksordnung,</w:t>
      </w:r>
    </w:p>
    <w:p>
      <w:pPr>
        <w:ind w:left="420"/>
      </w:pPr>
      <w:r>
        <w:t xml:space="preserve">5. Zeitpunkt der Löschung in der Handwerksrolle oder in dem Verzeichnis der Inhaber eines Betriebes eines zulassungsfreien Handwerks oder eines handwerksähnlichen Gewerbes,</w:t>
      </w:r>
    </w:p>
    <w:p>
      <w:pPr>
        <w:ind w:left="420"/>
      </w:pPr>
      <w:r>
        <w:t xml:space="preserve">6. für Handwerksbetriebe nach § 1 und § 18 Absatz 2 Satz 1 der Handwerksordnung: zu betreibendes Handwerk oder bei Ausübung mehrerer Handwerke diese Handwerke; für Betriebe eines handwerksähnlichen Gewerbes gemäß § 18 Absatz 2 Satz 2 der Handwerksordnung: zu betreibendes handwerksähnliches Gewerbe oder bei Ausübung mehrerer handwerksähnlicher Gewerbe diese Gewerbe,</w:t>
      </w:r>
    </w:p>
    <w:p>
      <w:pPr>
        <w:ind w:left="420"/>
      </w:pPr>
      <w:r>
        <w:t xml:space="preserve">7. Nummer des Finanzamts und Steuernummer,</w:t>
      </w:r>
    </w:p>
    <w:p>
      <w:pPr>
        <w:ind w:left="420"/>
      </w:pPr>
      <w:r>
        <w:t xml:space="preserve">8. Kennzeichen zur Identifikation (Kammer- und Identnummer), bei Änderung auch das zuletzt übermittelte Kennzeichen.</w:t>
      </w:r>
    </w:p>
    <w:p>
      <w:r>
        <w:rPr>
          <w:color w:val="555555"/>
          <w:sz w:val="17"/>
        </w:rPr>
        <w:t xml:space="preserve">Zitiervorschlag: § 5 StatRegG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https://recht.nulegal.eu/gesetze/StatRegG/5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