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StatRegG</w:t>
      </w:r>
    </w:p>
    <w:p>
      <w:r>
        <w:rPr>
          <w:color w:val="555555"/>
          <w:sz w:val="18"/>
        </w:rPr>
        <w:t xml:space="preserve">Statistikregistergesetz</w:t>
      </w:r>
    </w:p>
    <w:p>
      <w:r>
        <w:rPr>
          <w:color w:val="555555"/>
          <w:sz w:val="18"/>
        </w:rPr>
        <w:t xml:space="preserve">Stand: 01.01.2024 (konsolidierte Textfassung, kein amtliches Inkrafttretensdatum)</w:t>
      </w:r>
    </w:p>
    <w:p>
      <w:r>
        <w:t xml:space="preserve">(1) Beim Statistischen Bundesamt wird gemäß § 13 Absatz 1 des Bundesstatistikgesetzes ein Statistikregister geführt. Im Statistikregister dürfen zu den Einheiten, die nach Artikel 2 Absatz 3 der Verordnung (EU) 2019/2152 des Europäischen Parlaments und des Rates vom 27. November 2019 über europäische Unternehmensstatistiken, zur Aufhebung von zehn Rechtsakten im Bereich Unternehmensstatistiken (ABl. L 327 vom 17.12.2019, S. 1), die durch die Delegierte Verordnung (EU) 2021/1704 (ABl. L 339 vom 24.9.2021, S. 33) geändert worden ist, in der jeweils geltenden Fassung erfasst werden, folgende Angaben gespeichert werden:</w:t>
      </w:r>
    </w:p>
    <w:p>
      <w:pPr>
        <w:ind w:left="420"/>
      </w:pPr>
      <w:r>
        <w:t xml:space="preserve">1. Angaben nach Anhang VIII zur Durchführungsverordnung (EU) 2020/1197 der Kommission vom 30. Juli 2020 zur Festlegung technischer Spezifikationen und Einzelheiten nach der Verordnung (EU) 2019/2152 des Europäischen Parlaments und des Rates über europäische Unternehmensstatistiken, zur Aufhebung von zehn Rechtsakten im Bereich Unternehmensstatistiken (ABl. L 271 vom 18.8.2020, S. 1), die durch die Durchführungsverordnung (EU) 2021/1225 (ABl. L 269 vom 28.7.2021, S. 58) geändert worden ist, in der jeweils geltenden Fassung,</w:t>
      </w:r>
    </w:p>
    <w:p>
      <w:pPr>
        <w:ind w:left="420"/>
      </w:pPr>
      <w:r>
        <w:t xml:space="preserve">2. Zahl der Beschäftigten nach Arten der Beschäftigungsverhältnisse,</w:t>
      </w:r>
    </w:p>
    <w:p>
      <w:pPr>
        <w:ind w:left="420"/>
      </w:pPr>
      <w:r>
        <w:t xml:space="preserve">3. Umsatz,</w:t>
      </w:r>
    </w:p>
    <w:p>
      <w:pPr>
        <w:ind w:left="420"/>
      </w:pPr>
      <w:r>
        <w:t xml:space="preserve">4. Beziehungen zu anderen Einheiten,</w:t>
      </w:r>
    </w:p>
    <w:p>
      <w:pPr>
        <w:ind w:left="420"/>
      </w:pPr>
      <w:r>
        <w:t xml:space="preserve">5. Eintragung in die Handwerksrolle und in das Verzeichnis der Inhaber eines Betriebes eines zulassungsfreien Handwerks oder eines handwerksähnlichen Gewerbes, Art der ausgeübten Tätigkeit, Ort und Nummer der Eintragung in das Handels-, Genossenschafts-, Gesellschafts-, Vereins- oder Partnerschaftsregister, Kennzeichen zur Identifikation aus den Gewerbeanzeigen, Zugehörigkeit zu einer Organschaft,</w:t>
      </w:r>
    </w:p>
    <w:p>
      <w:pPr>
        <w:ind w:left="420"/>
      </w:pPr>
      <w:r>
        <w:t xml:space="preserve">6. Geokoordinate,</w:t>
      </w:r>
    </w:p>
    <w:p>
      <w:pPr>
        <w:ind w:left="420"/>
      </w:pPr>
      <w:r>
        <w:t xml:space="preserve">7. Bevollmächtigte für die statistische Auskunftserteilung einschließlich der Kontaktdaten,</w:t>
      </w:r>
    </w:p>
    <w:p>
      <w:pPr>
        <w:ind w:left="420"/>
      </w:pPr>
      <w:r>
        <w:t xml:space="preserve">8. Kennzeichnung der Statistiken, in die die Einheit einbezogen ist,</w:t>
      </w:r>
    </w:p>
    <w:p>
      <w:pPr>
        <w:ind w:left="420"/>
      </w:pPr>
      <w:r>
        <w:t xml:space="preserve">9. Datum der Aufnahme in das Statistikregister.</w:t>
      </w:r>
    </w:p>
    <w:p>
      <w:r>
        <w:t xml:space="preserve">Die genannten Angaben dürfen auch zu administrativen Einheiten gespeichert werden. Zu Unternehmen darf über die in Satz 2 genannten Angaben hinaus die Kennzeichnung der bestimmenden rechtlichen Einheit im Unternehmen gespeichert werden. Zu Unternehmensgruppen darf auch die Kennzeichnung der deutschen Entscheidungseinheit in der Unternehmensgruppe gespeichert werden. Für jede Einheit wird eine Kennnummer vergeben.</w:t>
      </w:r>
    </w:p>
    <w:p>
      <w:r>
        <w:t xml:space="preserve">(2) Die in den §§ 2 bis 6 genannten Stellen übermitteln den statistischen Ämtern der Länder und dem Statistischen Bundesamt jeweils für deren Zuständigkeitsbereich, soweit dies nicht in den §§ 2, 4a und 6 abweichend geregelt ist, jährlich auf Anforderung ohne Erstattung der Kosten aus den vorhandenen Unterlagen Angaben zur Pflege und Führung des Statistikregisters. Die Maßnahmen zur technischen Abwicklung der Übermittlungen nach Satz 1 werden von den beteiligten Stellen einvernehmlich festgelegt. Für die Geheimhaltung der nach Satz 1 übermittelten Einzelangaben über persönliche und sachliche Verhältnisse gilt § 16 des Bundesstatistikgesetzes.</w:t>
      </w:r>
    </w:p>
    <w:p>
      <w:r>
        <w:t xml:space="preserve">(3) Zur Pflege und Führung des Statistikregisters dürfen auch nach dem Verwaltungsdatenverwendungsgesetz übermittelte Angaben, Angaben aus Wirtschafts- und Umweltstatistiken, Unternehmensbasisdaten aus dem Register über Unternehmensbasisdaten sowie Angaben aus allgemein zugänglichen Quellen verwendet werden.</w:t>
      </w:r>
    </w:p>
    <w:p>
      <w:r>
        <w:rPr>
          <w:color w:val="555555"/>
          <w:sz w:val="17"/>
        </w:rPr>
        <w:t xml:space="preserve">Zitiervorschlag: § 1 StatRegG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https://recht.nulegal.eu/gesetze/StatRegG/1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