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StatBeiratVO (Sachsen) — Zusammensetzung</w:t>
      </w:r>
    </w:p>
    <w:p>
      <w:r>
        <w:rPr>
          <w:color w:val="555555"/>
          <w:sz w:val="18"/>
        </w:rPr>
        <w:t xml:space="preserve">Verordnung des Sächsischen Staatsministeriums des Innern zur Regelung der Aufgaben und der Zusammensetzung des Statistischen Beirates beim Statistischen Landesamt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Statistische Beirat besteht aus:</w:t>
      </w:r>
    </w:p>
    <w:p>
      <w:r>
        <w:t xml:space="preserve">a) dem Präsidenten des Statistischen Landesamtes, einem Vertreter des Staatsministeriums des Innern und einem Vertreter der Staatskanzlei als ständige Mitglieder</w:t>
      </w:r>
    </w:p>
    <w:p>
      <w:r>
        <w:t xml:space="preserve">b) sowie je einem Vertreter der anderen Ministerien als nichtständige Mitglieder.</w:t>
      </w:r>
    </w:p>
    <w:p>
      <w:r>
        <w:t xml:space="preserve">(2) Die Vertreter sind von den Staatsministerien und der Staatskanzlei zu benennen und dem Präsidenten des Statistischen Landesamtes schriftlich mitzuteilen. Ebenso ist das Ausscheiden eines Vertreters dem Präsidenten schriftlich anzuzeigen.</w:t>
      </w:r>
    </w:p>
    <w:p>
      <w:r>
        <w:t xml:space="preserve">(3) Die Geschäftsführung des Statistischen Beirates nimmt das Statistische Landesamt wahr.</w:t>
      </w:r>
    </w:p>
    <w:p>
      <w:r>
        <w:t xml:space="preserve">(4) Ein nichtständiges Mitglied wird zu den Beratungen des Statistischen Beirates geladen, wenn es von dem jeweiligen Beratungsgegenstand betroffen ist. Ob ein Betroffensein vorliegt, entscheiden die ständigen Mitglieder des Beirates.</w:t>
      </w:r>
    </w:p>
    <w:p>
      <w:r>
        <w:rPr>
          <w:color w:val="555555"/>
          <w:sz w:val="17"/>
        </w:rPr>
        <w:t xml:space="preserve">Zitiervorschlag: § 2 StatBeiratVO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https://recht.nulegal.eu/gesetze/StatBeiratVO/2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