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StartUpAkut-AÜVO (Nordrhein-Westfalen) — Ausschließlichkeit</w:t>
      </w:r>
    </w:p>
    <w:p>
      <w:r>
        <w:rPr>
          <w:color w:val="555555"/>
          <w:sz w:val="18"/>
        </w:rPr>
        <w:t xml:space="preserve">NRW.StartUp-akut-Aufgabenübertragungsverordnung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Mit der Wahrnehmung der in § 1 aufgeführten Aufgaben und Geschäfte darf die Landesverwaltung Dritte nicht beauftragen. Die NRW.BANK darf sich bei der Erfüllung der Aufgaben und Geschäfte nach § 1 geeigneter Dritter bedienen.</w:t>
      </w:r>
    </w:p>
    <w:p>
      <w:r>
        <w:rPr>
          <w:color w:val="555555"/>
          <w:sz w:val="17"/>
        </w:rPr>
        <w:t xml:space="preserve">Zitiervorschlag: § 2 StartUpAkut-AÜVO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https://recht.nulegal.eu/gesetze/StartUpAkut-A%C3%9CVO/2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