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StandZV — (zu § 1) Standardzulassungen</w:t>
      </w:r>
    </w:p>
    <w:p>
      <w:r>
        <w:rPr>
          <w:color w:val="555555"/>
          <w:sz w:val="18"/>
        </w:rPr>
        <w:t xml:space="preserve">Verordnung über Standardzulassungen von Arzneimitteln</w:t>
      </w:r>
    </w:p>
    <w:p>
      <w:r>
        <w:rPr>
          <w:color w:val="555555"/>
          <w:sz w:val="18"/>
        </w:rPr>
        <w:t xml:space="preserve">Stand: 21.10.2021 (konsolidierte Textfassung, kein amtliches Inkrafttretensdatum)</w:t>
      </w:r>
    </w:p>
    <w:p>
      <w:r>
        <w:t xml:space="preserve">(Inhalt: Nicht erfasster Anlageband, Fundstelle: Anlageband I zu BGBl I Nr. 47 v. 8.12.1982, bzgl. der einzelnen Änderungen vgl. Fußnote)</w:t>
      </w:r>
    </w:p>
    <w:p>
      <w:r>
        <w:rPr>
          <w:color w:val="555555"/>
          <w:sz w:val="17"/>
        </w:rPr>
        <w:t xml:space="preserve">Zitiervorschlag: Anlage StandZV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https://recht.nulegal.eu/gesetze/StandZV/anlage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