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StandZV</w:t>
      </w:r>
    </w:p>
    <w:p>
      <w:r>
        <w:rPr>
          <w:color w:val="555555"/>
          <w:sz w:val="18"/>
        </w:rPr>
        <w:t xml:space="preserve">Verordnung über Standardzulassungen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der Anlage in Teil I, 1. Abschnitt und in Teil II, 1. Abschnitt bezeichneten Fertigarzneimittel sind von der Pflicht zur Einzelzulassung nach § 21 Abs. 1 des Arzneimittelgesetzes freigestellt, soweit sie die für sie in Teil I, 2. Abschnitt, Teil II, 2. Abschnitt und Teil III der Anlage festgelegten Anforderungen erfüllen (Standardzulassungen).</w:t>
      </w:r>
    </w:p>
    <w:p>
      <w:r>
        <w:rPr>
          <w:color w:val="555555"/>
          <w:sz w:val="17"/>
        </w:rPr>
        <w:t xml:space="preserve">Zitiervorschlag: § 1 StandZV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