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StandVKlV — Anwendungsbestimmung</w:t>
      </w:r>
    </w:p>
    <w:p>
      <w:r>
        <w:rPr>
          <w:color w:val="555555"/>
          <w:sz w:val="18"/>
        </w:rPr>
        <w:t xml:space="preserve">Standardvertragsklauselverordnung</w:t>
      </w:r>
    </w:p>
    <w:p>
      <w:r>
        <w:rPr>
          <w:color w:val="555555"/>
          <w:sz w:val="18"/>
        </w:rPr>
        <w:t xml:space="preserve">Stand: 18.12.2025 (konsolidierte Textfassung, kein amtliches Inkrafttretensdatum)</w:t>
      </w:r>
    </w:p>
    <w:p>
      <w:r>
        <w:t xml:space="preserve">Diese Verordnung ist auf Verträge anzuwenden, die nach dem 17. Dezember 2025 geschlossen werden.</w:t>
      </w:r>
    </w:p>
    <w:p>
      <w:r>
        <w:rPr>
          <w:color w:val="555555"/>
          <w:sz w:val="17"/>
        </w:rPr>
        <w:t xml:space="preserve">Zitiervorschlag: § 3 StandVKlV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https://recht.nulegal.eu/gesetze/StandVKlV/3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