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StandVKlV — Festlegung von Standardvertragsklauseln</w:t>
      </w:r>
    </w:p>
    <w:p>
      <w:r>
        <w:rPr>
          <w:color w:val="555555"/>
          <w:sz w:val="18"/>
        </w:rPr>
        <w:t xml:space="preserve">Standardvertragsklauselverordnung</w:t>
      </w:r>
    </w:p>
    <w:p>
      <w:r>
        <w:rPr>
          <w:color w:val="555555"/>
          <w:sz w:val="18"/>
        </w:rPr>
        <w:t xml:space="preserve">Stand: 18.12.2025 (konsolidierte Textfassung, kein amtliches Inkrafttretensdatum)</w:t>
      </w:r>
    </w:p>
    <w:p>
      <w:r>
        <w:t xml:space="preserve">(1) Für die vertragliche Regelung einzelner Rechte und Pflichten des Sponsors und des Prüfzentrums bei der Durchführung einer klinischen Prüfung im Sinne des Artikels 2 Absatz 2 Nummer 2 der Verordnung (EU) Nr. 536/2014 in der Fassung vom 6. September 2022 werden die in den Anlagen 1 und 2 genannten Standardvertragsklauseln festgelegt. Die in Anlage 2 genannten Standardvertragsklauseln werden nur für vertragliche Regelungen festgelegt, in denen der Sponsor und das Prüfzentrum ihre Pflichten bei einer gemeinsamen Verantwortlichkeit für die Verarbeitung personenbezogener Daten nach Artikel 26 Absatz 1 Satz 2 und 3 sowie Absatz 2 Satz 1 der Verordnung (EU) 2016/679 vereinbaren, soweit die tatsächlichen Festlegungen der Zwecke und Mittel zur Verarbeitung personenbezogener Daten durch den Sponsor und das Prüfzentrum keine anderweitigen vertraglichen Regelungen erfordern.</w:t>
      </w:r>
    </w:p>
    <w:p>
      <w:r>
        <w:t xml:space="preserve">(2) Die in den Anlagen 1 und 2 genannten Standardvertragsklauseln werden nicht für solche vertragliche Regelungen festgelegt, die zur Durchführung einer klinischen Prüfung vereinbart werden, die von einem nicht-kommerziellen Sponsor veranlasst wurde und keine wirtschaftliche Zwecksetzung verfolgt.</w:t>
      </w:r>
    </w:p>
    <w:p>
      <w:r>
        <w:t xml:space="preserve">(3) Die Vorgaben des Gesetzes über Arbeitnehmererfindungen bleiben unberührt.</w:t>
      </w:r>
    </w:p>
    <w:p>
      <w:r>
        <w:rPr>
          <w:color w:val="555555"/>
          <w:sz w:val="17"/>
        </w:rPr>
        <w:t xml:space="preserve">Zitiervorschlag: § 1 StandVKlV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https://recht.nulegal.eu/gesetze/StandVKlV/1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