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StandRegV</w:t>
      </w:r>
    </w:p>
    <w:p>
      <w:r>
        <w:rPr>
          <w:color w:val="555555"/>
          <w:sz w:val="18"/>
        </w:rPr>
        <w:t xml:space="preserve">Verordnung über Standardregistrierungen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StandRegV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