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StandRegV</w:t>
      </w:r>
    </w:p>
    <w:p>
      <w:r>
        <w:rPr>
          <w:color w:val="555555"/>
          <w:sz w:val="18"/>
        </w:rPr>
        <w:t xml:space="preserve">Verordnung über Standardregistrierungen von Arzneimitteln</w:t>
      </w:r>
    </w:p>
    <w:p>
      <w:r>
        <w:rPr>
          <w:color w:val="555555"/>
          <w:sz w:val="18"/>
        </w:rPr>
        <w:t xml:space="preserve">Stand: 10.06.2019 (konsolidierte Textfassung, kein amtliches Inkrafttretensdatum)</w:t>
      </w:r>
    </w:p>
    <w:p>
      <w:r>
        <w:t xml:space="preserve">Arzneimittel, die sich am 19. Juli 2007 im Verkehr befinden und den Vorschriften dieser Verordnung in der bis zum 19. Juli 2007 geltenden Fassung entsprechen, müssen ab dem 1. Januar 2009 vom pharmazeutischen Unternehmer entsprechend den §§ 10 und 11 des Arzneimittelgesetzes in der jeweils geltenden Fassung gekennzeichnet und mit einer Packungsbeilage versehen werden.</w:t>
      </w:r>
    </w:p>
    <w:p>
      <w:r>
        <w:rPr>
          <w:color w:val="555555"/>
          <w:sz w:val="17"/>
        </w:rPr>
        <w:t xml:space="preserve">Zitiervorschlag: § 2 StandRegV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https://recht.nulegal.eu/gesetze/StandRegV/2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