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StandRegV</w:t>
      </w:r>
    </w:p>
    <w:p>
      <w:r>
        <w:rPr>
          <w:color w:val="555555"/>
          <w:sz w:val="18"/>
        </w:rPr>
        <w:t xml:space="preserve">Verordnung über Standardregistrierungen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Homöopathische Arzneimittel sind von der Pflicht zur Einzelregistrierung nach § 38 Abs. 1 Satz 1 freigestellt, wenn</w:t>
      </w:r>
    </w:p>
    <w:p>
      <w:pPr>
        <w:ind w:left="420"/>
      </w:pPr>
      <w:r>
        <w:t xml:space="preserve">1. sie im Homöopathischen Arzneibuch monographisch beschrieben und in der Anlage aufgeführt sind,</w:t>
      </w:r>
    </w:p>
    <w:p>
      <w:pPr>
        <w:ind w:left="420"/>
      </w:pPr>
      <w:r>
        <w:t xml:space="preserve">2. sie den Anforderungen des Homöopathischen Arzneibuches und der Anlage entsprechen,</w:t>
      </w:r>
    </w:p>
    <w:p>
      <w:pPr>
        <w:ind w:left="420"/>
      </w:pPr>
      <w:r>
        <w:t xml:space="preserve">3. für sie keine Zulassung erteilt ist (Standardregistrierung).</w:t>
      </w:r>
    </w:p>
    <w:p>
      <w:r>
        <w:rPr>
          <w:color w:val="555555"/>
          <w:sz w:val="17"/>
        </w:rPr>
        <w:t xml:space="preserve">Zitiervorschlag: § 1 StandRegV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