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StandOG — Inkrafttreten</w:t>
      </w:r>
    </w:p>
    <w:p>
      <w:r>
        <w:rPr>
          <w:color w:val="555555"/>
          <w:sz w:val="18"/>
        </w:rPr>
        <w:t xml:space="preserve">Standortsicherungsgesetz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der Absätze 2 und 3 am Tage nach der Verkündung in Kraft.</w:t>
      </w:r>
    </w:p>
    <w:p>
      <w:r>
        <w:t xml:space="preserve">(2) Artikel 1 Nr. 18 Buchstabe b und Artikel 8 Nr. 2 treten vorbehaltlich der Genehmigung durch die Kommission der Europäischen Gemeinschaften am Tage nach der Verkündung in Kraft.</w:t>
      </w:r>
    </w:p>
    <w:p>
      <w:r>
        <w:t xml:space="preserve">(3) Artikel 15 Abs. 1 tritt am 1. Januar 1994, Artikel 15 Abs. 2 tritt am 1. Januar 1995 und Artikel 15 Abs. 3 tritt am Tage nach der Verkündung in Kraft. Artikel 18 tritt am 1. November 1993 in Kraft.</w:t>
      </w:r>
    </w:p>
    <w:p>
      <w:r>
        <w:rPr>
          <w:color w:val="555555"/>
          <w:sz w:val="17"/>
        </w:rPr>
        <w:t xml:space="preserve">Zitiervorschlag: Art 20 StandOG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https://recht.nulegal.eu/gesetze/StandOG/20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