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StandAG 2017 — Fachkonferenz Teilgebiete</w:t>
      </w:r>
    </w:p>
    <w:p>
      <w:r>
        <w:rPr>
          <w:color w:val="555555"/>
          <w:sz w:val="18"/>
        </w:rPr>
        <w:t xml:space="preserve">Standortauswahlgesetz</w:t>
      </w:r>
    </w:p>
    <w:p>
      <w:r>
        <w:rPr>
          <w:color w:val="555555"/>
          <w:sz w:val="18"/>
        </w:rPr>
        <w:t xml:space="preserve">Stand: 16.10.2020 (konsolidierte Textfassung, kein amtliches Inkrafttretensdatum)</w:t>
      </w:r>
    </w:p>
    <w:p>
      <w:r>
        <w:t xml:space="preserve">(1) Das Bundesamt für die Sicherheit der nuklearen Entsorgung beruft nach Erhalt des Zwischenberichts nach § 13 Absatz 2 Satz 3 eine Fachkonferenz Teilgebiete. Teilnehmende Personen sind Bürgerinnen und Bürger, Vertreter der Gebietskörperschaften der nach § 13 Absatz 2 ermittelten Teilgebiete, Vertreter gesellschaftlicher Organisationen sowie Wissenschaftlerinnen und Wissenschaftler.</w:t>
      </w:r>
    </w:p>
    <w:p>
      <w:r>
        <w:t xml:space="preserve">(2) Die Fachkonferenz Teilgebiete erörtert den Zwischenbericht des Vorhabenträgers nach § 13 Absatz 2 in höchstens drei Terminen innerhalb von sechs Monaten. Hierzu erläutert der Vorhabenträger den Teilnehmern der Fachkonferenz Teilgebiete die Inhalte des Zwischenberichts. Die Fachkonferenz Teilgebiete legt dem Vorhabenträger ihre Beratungsergebnisse innerhalb eines Monats nach dem letzten Termin vor. Mit Übermittlung der Beratungsergebnisse an den Vorhabenträger löst sich die Fachkonferenz Teilgebiete auf. Der Vorhabenträger berücksichtigt die Beratungsergebnisse bei seinem Vorschlag für die übertägig zu erkundenden Standortregionen nach § 14 Absatz 2.</w:t>
      </w:r>
    </w:p>
    <w:p>
      <w:r>
        <w:t xml:space="preserve">(3) Die Fachkonferenz Teilgebiete wird von einer Geschäftsstelle unterstützt, die beim Bundesamt für die Sicherheit der nuklearen Entsorgung eingerichtet wird.</w:t>
      </w:r>
    </w:p>
    <w:p>
      <w:r>
        <w:rPr>
          <w:color w:val="555555"/>
          <w:sz w:val="17"/>
        </w:rPr>
        <w:t xml:space="preserve">Zitiervorschlag: § 9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