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StandAG 2017 — Salzstock Gorleben</w:t>
      </w:r>
    </w:p>
    <w:p>
      <w:r>
        <w:rPr>
          <w:color w:val="555555"/>
          <w:sz w:val="18"/>
        </w:rPr>
        <w:t xml:space="preserve">Standortauswahlgesetz</w:t>
      </w:r>
    </w:p>
    <w:p>
      <w:r>
        <w:rPr>
          <w:color w:val="555555"/>
          <w:sz w:val="18"/>
        </w:rPr>
        <w:t xml:space="preserve">Stand: 10.06.2019 (konsolidierte Textfassung, kein amtliches Inkrafttretensdatum)</w:t>
      </w:r>
    </w:p>
    <w:p>
      <w:r>
        <w:t xml:space="preserve">(1) Der Salzstock Gorleben wird wie jeder andere in Betracht kommende Standort gemäß den nach den §§ 22 bis 26 festgelegten Kriterien und Anforderungen in das Standortauswahlverfahren einbezogen. Er kann lediglich im jeweiligen Verfahrensabschnitt nach den §§ 13 bis 20 des Standortauswahlgesetzes mit einem oder mehreren anderen Standorten verglichen werden, solange er nicht nach Satz 5 ausgeschlossen wurde. Er dient nicht als Referenzstandort für andere zu erkundende Standorte. Der Umstand, dass für den Standort Gorleben Erkenntnisse aus der bisherigen Erkundung vorliegen, darf ebenso wenig in die vergleichende Bewertung einfließen wie der Umstand, dass für den Standort Gorleben bereits Infrastruktur für die Erkundung geschaffen ist. Der Ausschluss nach dem Standortauswahlgesetz erfolgt, wenn der Salzstock Gorleben</w:t>
      </w:r>
    </w:p>
    <w:p>
      <w:pPr>
        <w:ind w:left="420"/>
      </w:pPr>
      <w:r>
        <w:t xml:space="preserve">1. nicht zu den nach § 13 Absatz 2 ermittelten Teilgebieten gehört,</w:t>
      </w:r>
    </w:p>
    <w:p>
      <w:pPr>
        <w:ind w:left="420"/>
      </w:pPr>
      <w:r>
        <w:t xml:space="preserve">2. nicht zu den nach § 15 Absatz 3 festgelegten übertägig zu erkundenden Standortregionen gehört,</w:t>
      </w:r>
    </w:p>
    <w:p>
      <w:pPr>
        <w:ind w:left="420"/>
      </w:pPr>
      <w:r>
        <w:t xml:space="preserve">3. nicht zu den nach § 17 Absatz 2 festgelegten untertägig zu erkundenden Standorten gehört oder</w:t>
      </w:r>
    </w:p>
    <w:p>
      <w:pPr>
        <w:ind w:left="420"/>
      </w:pPr>
      <w:r>
        <w:t xml:space="preserve">4. nicht der Standort nach § 20 Absatz 2 ist.</w:t>
      </w:r>
    </w:p>
    <w:p>
      <w:r>
        <w:t xml:space="preserve">(2) Die bergmännische Erkundung des Salzstocks Gorleben ist beendet. Maßnahmen, die der Standortauswahl dienen, dürfen nur noch nach diesem Gesetz und in dem hier vorgesehenen Verfahrensschritt des Standortauswahlverfahrens durchgeführt werden. Das Bergwerk wird bis zu der Standortentscheidung nach dem Standortauswahlgesetz unter Gewährleistung aller rechtlichen Erfordernisse und der notwendigen Erhaltungsarbeiten offen gehalten, sofern der Salzstock Gorleben nicht nach Absatz 1 aus dem Verfahren ausgeschlossen wurde. Der Bund ist für das Bergwerk Gorleben zuständig. Ein Salzlabor im Salzstock Gorleben zur standortunabhängigen Forschung zum Medium Salz als Wirtsgestein wird dort nicht betrieben.</w:t>
      </w:r>
    </w:p>
    <w:p>
      <w:r>
        <w:rPr>
          <w:color w:val="555555"/>
          <w:sz w:val="17"/>
        </w:rPr>
        <w:t xml:space="preserve">Zitiervorschlag: § 36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