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StandAG 2017 — Säumniszuschlag</w:t>
      </w:r>
    </w:p>
    <w:p>
      <w:r>
        <w:rPr>
          <w:color w:val="555555"/>
          <w:sz w:val="18"/>
        </w:rPr>
        <w:t xml:space="preserve">Standortauswahlgesetz</w:t>
      </w:r>
    </w:p>
    <w:p>
      <w:r>
        <w:rPr>
          <w:color w:val="555555"/>
          <w:sz w:val="18"/>
        </w:rPr>
        <w:t xml:space="preserve">Stand: 10.06.2019 (konsolidierte Textfassung, kein amtliches Inkrafttretensdatum)</w:t>
      </w:r>
    </w:p>
    <w:p>
      <w:r>
        <w:t xml:space="preserve">Werden die Umlagebeträge oder Umlagevorauszahlungsbeträge nicht innerhalb von zwei Wochen nach Ablauf des Fälligkeitstages entrichtet, ist für jeden angefangenen Monat der Säumnis ein Säumniszuschlag von 1 Prozent des rückständigen Betrages zu entrichten. Der Säumniszuschlag wird nur erhoben, wenn der rückständige Betrag 50 Euro übersteigt und die Säumnis länger als drei Tage beträgt. Wird die Festsetzung einer Umlage aufgehoben oder geändert, bleiben die bis dahin verwirkten Säumniszuschläge unberührt.</w:t>
      </w:r>
    </w:p>
    <w:p>
      <w:r>
        <w:rPr>
          <w:color w:val="555555"/>
          <w:sz w:val="17"/>
        </w:rPr>
        <w:t xml:space="preserve">Zitiervorschlag: § 35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