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32 StandAG 2017 — Umlageforderung, Festsetzung und Fälligkeit</w:t>
      </w:r>
    </w:p>
    <w:p>
      <w:r>
        <w:rPr>
          <w:color w:val="555555"/>
          <w:sz w:val="18"/>
        </w:rPr>
        <w:t xml:space="preserve">Standortauswahlgesetz</w:t>
      </w:r>
    </w:p>
    <w:p>
      <w:r>
        <w:rPr>
          <w:color w:val="555555"/>
          <w:sz w:val="18"/>
        </w:rPr>
        <w:t xml:space="preserve">Stand: 01.01.2021 (konsolidierte Textfassung, kein amtliches Inkrafttretensdatum)</w:t>
      </w:r>
    </w:p>
    <w:p>
      <w:r>
        <w:t xml:space="preserve">(1) Die Umlageforderung entsteht mit Ablauf des Haushaltsjahres, für das die Umlagepflicht besteht (Umlagejahr).</w:t>
      </w:r>
    </w:p>
    <w:p>
      <w:r>
        <w:t xml:space="preserve">(2) Das Bundesministerium für Umwelt, Naturschutz und nukleare Sicherheit hat die vom Bundesamt für die Sicherheit der nuklearen Entsorgung und vom Vorhabenträger ermittelten Umlagebeträge festzusetzen. Zu berücksichtigende Fehlbeträge, nicht eingegangene Beträge und Überschüsse sind dem jeweiligen Umlagepflichtigen zuzuordnen. Die Festsetzung erfolgt durch Bescheid. Gegen Verwaltungsakte nach dieser Vorschrift findet ein Vorverfahren statt. Über den Widerspruch entscheidet das Bundesministerium für Umwelt, Naturschutz und nukleare Sicherheit. § 21c des Atomgesetzes gilt für Umlagen nach § 28 entsprechend.</w:t>
      </w:r>
    </w:p>
    <w:p>
      <w:r>
        <w:t xml:space="preserve">(3) Die Umlageforderung wird einen Monat nach der Zustellung des Bescheids an den Umlagepflichtigen fällig, wenn nicht das Bundesministerium für Umwelt, Naturschutz und nukleare Sicherheit einen späteren Zeitpunkt bestimmt.</w:t>
      </w:r>
    </w:p>
    <w:p>
      <w:r>
        <w:rPr>
          <w:color w:val="555555"/>
          <w:sz w:val="17"/>
        </w:rPr>
        <w:t xml:space="preserve">Zitiervorschlag: § 32 StandAG 2017</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https://recht.nulegal.eu/gesetze/StandAG%202017/32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