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StandAG 2017 — Ermittlung des Umlagebetrages</w:t>
      </w:r>
    </w:p>
    <w:p>
      <w:r>
        <w:rPr>
          <w:color w:val="555555"/>
          <w:sz w:val="18"/>
        </w:rPr>
        <w:t xml:space="preserve">Standortauswahlgesetz</w:t>
      </w:r>
    </w:p>
    <w:p>
      <w:r>
        <w:rPr>
          <w:color w:val="555555"/>
          <w:sz w:val="18"/>
        </w:rPr>
        <w:t xml:space="preserve">Stand: 01.01.2021 (konsolidierte Textfassung, kein amtliches Inkrafttretensdatum)</w:t>
      </w:r>
    </w:p>
    <w:p>
      <w:r>
        <w:t xml:space="preserve">(1) Auf Grundlage der in den Jahresrechnungen ermittelten umlagefähigen Kosten nach § 30 Absatz 1 haben der Vorhabenträger und das Bundesamt für die Sicherheit der nuklearen Entsorgung für jeden Umlagepflichtigen den von diesem zu entrichtenden anteiligen Umlagebetrag nach § 29 Absatz 2 zu ermitteln und zuzuordnen.</w:t>
      </w:r>
    </w:p>
    <w:p>
      <w:r>
        <w:t xml:space="preserve">(2) Der Vorhabenträger und das Bundesamt für die Sicherheit der nuklearen Entsorgung übermitteln ihre Jahresrechnungen und die ermittelten Umlagebeträge dem Bundesministerium für Umwelt, Naturschutz und nukleare Sicherheit.</w:t>
      </w:r>
    </w:p>
    <w:p>
      <w:r>
        <w:t xml:space="preserve">(3) Vor Beginn eines jeden Haushaltsjahres ist von dem Vorhabenträger und dem Bundesamt für die Sicherheit der nuklearen Entsorgung eine Kostenkalkulation der Maßnahmen zu erstellen, die für das jeweilige Haushaltsjahr vorgesehen sind; die vorgesehenen Maßnahmen und die Kostenkalkulation sollen den Umlagepflichtigen vor Beginn des Haushaltsjahres bekannt gegeben werden.</w:t>
      </w:r>
    </w:p>
    <w:p>
      <w:r>
        <w:rPr>
          <w:color w:val="555555"/>
          <w:sz w:val="17"/>
        </w:rPr>
        <w:t xml:space="preserve">Zitiervorschlag: § 31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