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StandAG 2017 — Jahresrechnung für die Umsetzung der Standortsuche und Ermittlung der umlagefähigen Kosten</w:t>
      </w:r>
    </w:p>
    <w:p>
      <w:r>
        <w:rPr>
          <w:color w:val="555555"/>
          <w:sz w:val="18"/>
        </w:rPr>
        <w:t xml:space="preserve">Standortauswahlgesetz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Der Vorhabenträger und das Bundesamt für die Sicherheit der nuklearen Entsorgung stellen nach Ende des Haushaltsjahres die umlagefähigen Kosten nach § 28 Absatz 2 jeweils durch Jahresrechnung über die Einnahmen und Ausgaben für die Umsetzung des Standortauswahlverfahrens fest (Jahresrechnung).</w:t>
      </w:r>
    </w:p>
    <w:p>
      <w:r>
        <w:t xml:space="preserve">(2) Für die Jahresrechnungen ist eine Abschlussprüfung durch einen Wirtschaftsprüfer oder eine Wirtschaftsprüfungsgesellschaft vorzunehmen. Die Jahresrechnungen bedürfen zudem der Genehmigung durch das Bundesministerium für Umwelt, Naturschutz und nukleare Sicherheit.</w:t>
      </w:r>
    </w:p>
    <w:p>
      <w:r>
        <w:rPr>
          <w:color w:val="555555"/>
          <w:sz w:val="17"/>
        </w:rPr>
        <w:t xml:space="preserve">Zitiervorschlag: § 30 StandAG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https://recht.nulegal.eu/gesetze/StandAG%202017/30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