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StandAG 2017 — Umlagepflichtige und Umlagebetrag</w:t>
      </w:r>
    </w:p>
    <w:p>
      <w:r>
        <w:rPr>
          <w:color w:val="555555"/>
          <w:sz w:val="18"/>
        </w:rPr>
        <w:t xml:space="preserve">Standortauswahlgesetz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Umlagepflichtig ist derjenige, dem eine Genehmigung nach den §§ 6, 7 oder 9 des Atomgesetzes, nach § 12 Absatz 1 Nummer 3 sowie Absatz 3 und 4 des Strahlenschutzgesetzes oder nach § 7 der Strahlenschutzverordnung vom 20. Juli 2001 (BGBl. I S. 1714; 2002 I S. 1459) erteilt worden ist oder war, wenn aufgrund der genehmigten Tätigkeit radioaktive Abfälle, die an ein Endlager nach § 9a Absatz 3 des Atomgesetzes abgeliefert werden müssen, angefallen sind oder damit zu rechnen ist. Soweit die Finanzierungspflicht für Anlagen zur Endlagerung radioaktiver Abfälle nach § 1 des Entsorgungsübergangsgesetzes auf den Fonds im Sinne von § 1 des Entsorgungsfondsgesetzes übergegangen ist, ist der Fonds im Sinne von § 1 des Entsorgungsfondsgesetzes anstelle des Genehmigungsinhabers umlagepflichtig. Landessammelstellen nach § 9a des Atomgesetzes sind nicht umlagepflichtig.</w:t>
      </w:r>
    </w:p>
    <w:p>
      <w:r>
        <w:t xml:space="preserve">(2) Der zu entrichtende Anteil eines Umlagepflichtigen an den umlagefähigen Kosten (Umlagebetrag) bemisst sich aufwandsgerecht entsprechend § 6 Absatz 1 Nummer 2 und Absatz 3 der Endlagervorausleistungsverordnung.</w:t>
      </w:r>
    </w:p>
    <w:p>
      <w:r>
        <w:rPr>
          <w:color w:val="555555"/>
          <w:sz w:val="17"/>
        </w:rPr>
        <w:t xml:space="preserve">Zitiervorschlag: § 29 StandAG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https://recht.nulegal.eu/gesetze/StandAG%202017/29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