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StandAG 2017 — Sicherheitsanforderungen</w:t>
      </w:r>
    </w:p>
    <w:p>
      <w:r>
        <w:rPr>
          <w:color w:val="555555"/>
          <w:sz w:val="18"/>
        </w:rPr>
        <w:t xml:space="preserve">Standortauswahlgesetz</w:t>
      </w:r>
    </w:p>
    <w:p>
      <w:r>
        <w:rPr>
          <w:color w:val="555555"/>
          <w:sz w:val="18"/>
        </w:rPr>
        <w:t xml:space="preserve">Stand: 12.08.2020 (konsolidierte Textfassung, kein amtliches Inkrafttretensdatum)</w:t>
      </w:r>
    </w:p>
    <w:p>
      <w:r>
        <w:t xml:space="preserve">(1) Sicherheitsanforderungen sind die Anforderungen, denen die Errichtung, der Betrieb und die Stilllegung einer nach § 9b Absatz 1a des Atomgesetzes genehmigungsbedürftigen Anlage zur Gewährleistung der nach dem Stand von Wissenschaft und Technik erforderlichen Vorsorge gegen Schäden genügen müssen und die damit das bei der Endlagerung zu erreichende Schutzniveau festlegen. Sie bilden die wesentliche Grundlage für die nach den §§ 14, 16 und 18 im Rahmen der vorläufigen Sicherheitsuntersuchungen nach § 27 durchzuführende Bewertung, ob an einem Standort in Verbindung mit dem vorgesehenen Endlagerkonzept der sichere Einschluss der radioaktiven Abfälle erwartet werden kann.</w:t>
      </w:r>
    </w:p>
    <w:p>
      <w:r>
        <w:t xml:space="preserve">(2) Für die Sicherheitsanforderungen sind insbesondere folgende Schutzziele und allgemeine Sicherheitsprinzipien verbindlich:</w:t>
      </w:r>
    </w:p>
    <w:p>
      <w:pPr>
        <w:ind w:left="420"/>
      </w:pPr>
      <w:r>
        <w:t xml:space="preserve">1. Die radioaktiven und sonstigen Schadstoffe in den Abfällen sind in einem einschlusswirksamen Gebirgsbereich oder nach Maßgabe von § 23 Absatz 1 in Verbindung mit Absatz 4 bei wesentlich auf technischen und geotechnischen Barrieren beruhenden Endlagerkonzepten innerhalb dieser Barrieren mit dem Ziel zu konzentrieren und einzuschließen, diese Stoffe von der Biosphäre fernzuhalten. Für einen Zeitraum von einer Million Jahren muss im Hinblick auf den Schutz des Menschen und, soweit es um den langfristigen Schutz der menschlichen Gesundheit geht, der Umwelt sichergestellt werden, dass Expositionen aufgrund von Freisetzungen radioaktiver Stoffe aus dem Endlager geringfügig im Vergleich zur natürlichen Strahlenexposition sind.</w:t>
      </w:r>
    </w:p>
    <w:p>
      <w:pPr>
        <w:ind w:left="420"/>
      </w:pPr>
      <w:r>
        <w:t xml:space="preserve">2. Es ist zu gewährleisten, dass die Auswirkungen der Endlagerung auf Mensch und Umwelt im Ausland nicht größer sind als im Inland zulässig.</w:t>
      </w:r>
    </w:p>
    <w:p>
      <w:pPr>
        <w:ind w:left="420"/>
      </w:pPr>
      <w:r>
        <w:t xml:space="preserve">3. Es ist zu gewährleisten, dass für die eingelagerten Abfälle die Möglichkeit der Rückholung während der Betriebsphase besteht und dass für einen Zeitraum von 500 Jahren nach dem vorgesehenen Verschluss des Endlagers ausreichende Vorkehrungen für eine mögliche Bergung der Abfälle vorgesehen werden.</w:t>
      </w:r>
    </w:p>
    <w:p>
      <w:pPr>
        <w:ind w:left="420"/>
      </w:pPr>
      <w:r>
        <w:t xml:space="preserve">4. Das Endlager ist so zu errichten und zu betreiben, dass für den zuverlässigen langfristigen Einschluss der radioaktiven Abfälle in der Nachverschlussphase keine Eingriffe oder Wartungsarbeiten erforderlich werden.</w:t>
      </w:r>
    </w:p>
    <w:p>
      <w:r>
        <w:t xml:space="preserve">(3) Das Bundesministerium für Umwelt, Naturschutz und nukleare Sicherheit wird ermächtigt, durch Rechtsverordnung auf Grundlage der Sicherheitsprinzipien nach Absatz 2 Sicherheitsanforderungen für die Endlagerung festzulegen. Soweit erforderlich, sind wirtsgesteinsabhängige Anforderungen für jedes der nach § 23 Absatz 1 zu betrachtenden Wirtsgesteine festzulegen. Die festzulegenden Anforderungen umfassen insbesondere:</w:t>
      </w:r>
    </w:p>
    <w:p>
      <w:pPr>
        <w:ind w:left="420"/>
      </w:pPr>
      <w:r>
        <w:t xml:space="preserve">1. Anforderungen an den Schutz vor Schäden durch ionisierende Strahlung;</w:t>
      </w:r>
    </w:p>
    <w:p>
      <w:pPr>
        <w:ind w:left="420"/>
      </w:pPr>
      <w:r>
        <w:t xml:space="preserve">2. Anforderungen an die Rückholbarkeit und zur Ermöglichung einer Bergung;</w:t>
      </w:r>
    </w:p>
    <w:p>
      <w:pPr>
        <w:ind w:left="420"/>
      </w:pPr>
      <w:r>
        <w:t xml:space="preserve">3. Anforderungen zum Sicherheitskonzept des Endlagers für die Betriebs- und die Nachverschlussphase einschließlich dessen schrittweiser Optimierung.</w:t>
      </w:r>
    </w:p>
    <w:p>
      <w:r>
        <w:t xml:space="preserve">Die Verordnung muss spätestens zum Zeitpunkt der Durchführung repräsentativer vorläufiger Sicherheitsuntersuchungen nach § 14 Absatz 1 Satz 2 vorliegen. Sie ist spätestens alle zehn Jahre zu überprüfen und, soweit erforderlich, an den Stand von Wissenschaft und Technik anzupassen.</w:t>
      </w:r>
    </w:p>
    <w:p>
      <w:r>
        <w:t xml:space="preserve">(4) Die Rechtsverordnung nach Absatz 3 ist dem Bundestag zuzuleiten. Die Rechtsverordnung kann durch Beschluss des Bundestages geändert oder abgelehnt werden. Der Beschluss des Bundestages wird dem Bundesministerium für Umwelt, Naturschutz und nukleare Sicherheit zugeleitet. Hat sich der Bundestag nach Ablauf von vier Sitzungswochen seit Eingang der Rechtsverordnung nicht mit ihr befasst, wird die unveränderte Rechtsverordnung dem Bundesministerium für Umwelt, Naturschutz und nukleare Sicherheit zugeleitet.</w:t>
      </w:r>
    </w:p>
    <w:p>
      <w:r>
        <w:rPr>
          <w:color w:val="555555"/>
          <w:sz w:val="17"/>
        </w:rPr>
        <w:t xml:space="preserve">Zitiervorschlag: § 26 StandAG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https://recht.nulegal.eu/gesetze/StandAG%202017/26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