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StandAG 2017 — Ausschlusskriterien</w:t>
      </w:r>
    </w:p>
    <w:p>
      <w:r>
        <w:rPr>
          <w:color w:val="555555"/>
          <w:sz w:val="18"/>
        </w:rPr>
        <w:t xml:space="preserve">Standortauswahlgesetz</w:t>
      </w:r>
    </w:p>
    <w:p>
      <w:r>
        <w:rPr>
          <w:color w:val="555555"/>
          <w:sz w:val="18"/>
        </w:rPr>
        <w:t xml:space="preserve">Stand: 10.06.2019 (konsolidierte Textfassung, kein amtliches Inkrafttretensdatum)</w:t>
      </w:r>
    </w:p>
    <w:p>
      <w:r>
        <w:t xml:space="preserve">(1) Ein Gebiet ist nicht als Endlagerstandort geeignet, wenn mindestens eines der Ausschlusskriterien nach Absatz 2 in diesem Gebiet erfüllt ist.</w:t>
      </w:r>
    </w:p>
    <w:p>
      <w:r>
        <w:t xml:space="preserve">(2) Die Ausschlusskriterien sind:</w:t>
      </w:r>
    </w:p>
    <w:p>
      <w:pPr>
        <w:ind w:left="420"/>
      </w:pPr>
      <w:r>
        <w:t xml:space="preserve">1. großräumige Vertikalbewegungen es ist eine großräumige geogene Hebung von im Mittel mehr als 1 mm pro Jahr über den Nachweiszeitraum von einer Million Jahren zu erwarten;</w:t>
      </w:r>
    </w:p>
    <w:p>
      <w:pPr>
        <w:ind w:left="420"/>
      </w:pPr>
      <w:r>
        <w:t xml:space="preserve">2. aktive Störungszonen in den Gebirgsbereichen, die als Endlagerbereich in Betracht kommen, einschließlich eines abdeckenden Sicherheitsabstands, sind geologisch aktive Störungszonen vorhanden, die das Endlagersystem und seine Barrieren beeinträchtigen können;Unter einer „aktiven Störungszone“ werden Brüche in den Gesteinsschichten der oberen Erdkruste wie Verwerfungen mit deutlichem Gesteinsversatz sowie ausgedehnte Zerrüttungszonen mit tektonischer Entstehung, an denen nachweislich oder mit großer Wahrscheinlichkeit im Zeitraum Rupel bis heute, also innerhalb der letzten 34 Millionen Jahre, Bewegungen stattgefunden haben. Atektonische beziehungsweise aseismische Vorgänge, also Vorgänge, die nicht aus tektonischen Abläufen abgeleitet werden können oder nicht auf seismische Aktivitäten zurückzuführen sind und die zu ähnlichen Konsequenzen für die Sicherheit eines Endlagers wie tektonische Störungen führen können, sind wie diese zu behandeln.</w:t>
      </w:r>
    </w:p>
    <w:p>
      <w:pPr>
        <w:ind w:left="420"/>
      </w:pPr>
      <w:r>
        <w:t xml:space="preserve">3. Einflüsse aus gegenwärtiger oder früherer bergbaulicher Tätigkeit das Gebirge ist durch gegenwärtige oder frühere bergbauliche Tätigkeit so geschädigt, dass daraus negative Einflüsse auf den Spannungszustand und die Permeabilität des Gebirges im Bereich eines vorgesehenen einschlusswirksamen Gebirgsbereichs oder vorgesehenen Endlagerbereichs zu besorgen sind; vorhandene alte Bohrungen dürfen die Barrieren eines Endlagers, die den sicheren Einschluss gewährleisten, in ihrer Einschlussfunktion nachweislich nicht beeinträchtigen;</w:t>
      </w:r>
    </w:p>
    <w:p>
      <w:pPr>
        <w:ind w:left="420"/>
      </w:pPr>
      <w:r>
        <w:t xml:space="preserve">4. seismische Aktivität die örtliche seismische Gefährdung ist größer als in Erdbebenzone 1 nach DIN EN 1998-1/NA 2011-01;</w:t>
      </w:r>
    </w:p>
    <w:p>
      <w:pPr>
        <w:ind w:left="420"/>
      </w:pPr>
      <w:r>
        <w:t xml:space="preserve">5. vulkanische Aktivität es liegt quartärer Vulkanismus vor oder es ist zukünftig vulkanische Aktivität zu erwarten;</w:t>
      </w:r>
    </w:p>
    <w:p>
      <w:pPr>
        <w:ind w:left="420"/>
      </w:pPr>
      <w:r>
        <w:t xml:space="preserve">6. Grundwasseralter in den Gebirgsbereichen, die als einschlusswirksamer Gebirgsbereich oder Einlagerungsbereich in Betracht kommen, sind junge Grundwässer nachgewiesen worden.</w:t>
      </w:r>
    </w:p>
    <w:p>
      <w:r>
        <w:t xml:space="preserve">(3) Folgen von Maßnahmen zur Erkundung potenzieller Endlagerstandorte bleiben bei der Anwendung des Kriteriums nach Absatz 2 Nummer 3 außer Betracht. In den vorläufigen Sicherheitsuntersuchungen ist zu zeigen, dass der Nachweis des sicheren Einschlusses trotz dieser Folgen geführt werden kann. Erkundungsmaßnahmen sind so zu planen und durchzuführen, dass der einschlusswirksame Gebirgsbereich nur in dem für den erforderlichen Informationsgewinn unvermeidlichen Ausmaß verritzt und seine Integrität nicht gefährdet wird.</w:t>
      </w:r>
    </w:p>
    <w:p>
      <w:r>
        <w:rPr>
          <w:color w:val="555555"/>
          <w:sz w:val="17"/>
        </w:rPr>
        <w:t xml:space="preserve">Zitiervorschlag: § 22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