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StandAG 2017 — Sicherungsvorschriften</w:t>
      </w:r>
    </w:p>
    <w:p>
      <w:r>
        <w:rPr>
          <w:color w:val="555555"/>
          <w:sz w:val="18"/>
        </w:rPr>
        <w:t xml:space="preserve">Standortauswahlgesetz</w:t>
      </w:r>
    </w:p>
    <w:p>
      <w:r>
        <w:rPr>
          <w:color w:val="555555"/>
          <w:sz w:val="18"/>
        </w:rPr>
        <w:t xml:space="preserve">Stand: 01.01.2021 (konsolidierte Textfassung, kein amtliches Inkrafttretensdatum)</w:t>
      </w:r>
    </w:p>
    <w:p>
      <w:r>
        <w:t xml:space="preserve">(1) Gebiete, die als bestmöglich sicherer Standort für die Endlagerung in Betracht kommen, sind vor Veränderungen zu schützen, die ihre Eignung als Endlagerstandort beeinträchtigen können. Der Schutz erfolgt nach Maßgabe der Absätze 2 bis 4. § 12 Absatz 1 Satz 4 bleibt unberührt.</w:t>
      </w:r>
    </w:p>
    <w:p>
      <w:r>
        <w:t xml:space="preserve">(2) Bis zu dem in Absatz 3 genannten Zeitpunkt dürfen Anträge Dritter auf Zulassung eines Vorhabens in Teufen von mehr als 100 Metern nach den Bestimmungen des Bundesberggesetzes oder sonstigen Rechtsvorschriften in Gebieten, in denen in einer Teufe von 300 bis 1 500 Metern unter der Geländeoberkante stratiforme Steinsalz- oder Tonsteinformationen mit einer Mächtigkeit von mindestens 100 Metern, Salzformationen in steiler Lagerung oder Kristallingesteinsformationen mit einer vertikalen Ausdehnung von mindestens 100 Metern vorhanden sind oder erwartet werden können, nur dann zugelassen werden, wenn</w:t>
      </w:r>
    </w:p>
    <w:p>
      <w:pPr>
        <w:ind w:left="420"/>
      </w:pPr>
      <w:r>
        <w:t xml:space="preserve">1. für das Gebiet, in das das Vorhaben fällt, offensichtlich ist, dass mindestens eine Mindestanforderung nicht erfüllt oder mindestens ein Ausschlusskriterium erfüllt ist, oder</w:t>
      </w:r>
    </w:p>
    <w:p>
      <w:pPr>
        <w:ind w:left="420"/>
      </w:pPr>
      <w:r>
        <w:t xml:space="preserve">2. das Vorhaben im engen räumlichen Zusammenhang mit bereits durchgeführten Maßnahmen steht, durch die ein ähnlich starker Eingriff in den Untergrund erfolgt ist, oder</w:t>
      </w:r>
    </w:p>
    <w:p>
      <w:pPr>
        <w:ind w:left="420"/>
      </w:pPr>
      <w:r>
        <w:t xml:space="preserve">3. das Vorhaben eine dieser Gesteinsformationen berührt, deren Eigenschaften, die nach den Anforderungen und Kriterien nach den §§ 22 bis 24 zu bewerten sind, über große Flächen nur geringen räumlichen Schwankungen unterliegen und deren Fläche auch ohne das von den Auswirkungen dieses und anderer nach dieser Regelung zugelassener Vorhaben möglicherweise beeinträchtigte Gebiet mindestens das Zehnfache des für die Realisierung des Endlagers erforderlichen Flächenbedarfes beträgt, oder</w:t>
      </w:r>
    </w:p>
    <w:p>
      <w:pPr>
        <w:ind w:left="420"/>
      </w:pPr>
      <w:r>
        <w:t xml:space="preserve">4. das Vorhaben nur Bohrungen von 100 Metern bis 200 Metern Endteufe umfasst und</w:t>
      </w:r>
    </w:p>
    <w:p>
      <w:pPr>
        <w:ind w:left="780"/>
      </w:pPr>
      <w:r>
        <w:t xml:space="preserve">a) durch die Bohrungen oder die mit dieser Bohrung in Verbindung stehenden Maßnahmen keine Gesteinsschichten erheblich geschädigt werden können, die einen langfristigen Schutz darunterliegender, für die Endlagerung geeigneter Schichten bewirken können oder die langfristig im Sinne einer zusätzlichen Barriere für das Endlager wirken können und</w:t>
      </w:r>
    </w:p>
    <w:p>
      <w:pPr>
        <w:ind w:left="780"/>
      </w:pPr>
      <w:r>
        <w:t xml:space="preserve">b) in Fällen, in denen am Ort des beabsichtigten Vorhabens in einer Teufe von 300 bis 1 500 Metern unter Geländeoberkante stratiforme Steinsalzformationen von mindestens 100 Metern Mächtigkeit oder Salzformationen in steiler Lagerung mit einer vertikalen Ausdehnung von mindestens 100 Metern vorhanden sind, der Salzspiegel unterhalb von 400 Metern unter Geländeoberkante liegt oder bei einem höheren Salzspiegel durch die Bohrung und die mit dieser Bohrung in Verbindung stehenden Maßnahmen die Salzformation nicht geschädigt wird und keine wesentliche Beeinflussung des Grundwassers im Bereich von 50 Metern über der höchsten Stelle des Salzspiegels verursacht werden kann, oder</w:t>
      </w:r>
    </w:p>
    <w:p>
      <w:pPr>
        <w:ind w:left="420"/>
      </w:pPr>
      <w:r>
        <w:t xml:space="preserve">5. die Nichtzulassung des Antrags im Einzelfall zu einer offenbar nicht beabsichtigten Härte führen würde und überwiegende öffentliche Belange nicht entgegenstehen.</w:t>
      </w:r>
    </w:p>
    <w:p>
      <w:r>
        <w:t xml:space="preserve">Bei der Zulassung von Betriebsplänen für Vorhaben, die die bereits laufende Gewinnung von Bodenschätzen auf Grundlage eines nach dem Bundesberggesetz zugelassenen Betriebsplans betreffen, ist in der Regel davon auszugehen, dass die Voraussetzungen für eine Zulassung nach Satz 1 erfüllt sind. Über die Zulassung eines Vorhabens aufgrund des Satzes 1 der Nummer 1 bis 5 entscheidet die zuständige Behörde im Einvernehmen mit dem Bundesamt für die Sicherheit der nuklearen Entsorgung. Die Erklärung des Bundesamtes für die Sicherheit der nuklearen Entsorgung ist öffentlich zu machen. Das Einvernehmen gilt für die Zulassung von Bohrungen bis 200 Metern Endteufe aufgrund des Satzes 1 Nummer 2 oder 4 als erteilt, wenn das Bundesamt für die Sicherheit der nuklearen Entsorgung innerhalb von acht Wochen nach Anzeige des Vorhabens durch die zuständige Behörde keine Erklärung über das Einvernehmen abgegeben hat.</w:t>
      </w:r>
    </w:p>
    <w:p>
      <w:r>
        <w:t xml:space="preserve">(3) Nach Veröffentlichung des Zwischenberichts nach § 13 Absatz 2 Satz 3 ist Absatz 2 nur noch auf solche Vorhaben in Teufen von mehr als 100 Metern anzuwenden, die in den folgenden Gebieten durchgeführt werden sollen oder sich auf solche Gebiete auswirken können:</w:t>
      </w:r>
    </w:p>
    <w:p>
      <w:pPr>
        <w:ind w:left="420"/>
      </w:pPr>
      <w:r>
        <w:t xml:space="preserve">1. identifizierte Gebiete nach § 13 Absatz 2 Satz 1 oder</w:t>
      </w:r>
    </w:p>
    <w:p>
      <w:pPr>
        <w:ind w:left="420"/>
      </w:pPr>
      <w:r>
        <w:t xml:space="preserve">2. Gebiete im Sinne des § 13 Absatz 2 Satz 4 Halbsatz 2, die aufgrund nicht hinreichender geologischer Daten nicht eingeordnet werden können.</w:t>
      </w:r>
    </w:p>
    <w:p>
      <w:r>
        <w:t xml:space="preserve">Ab diesem Zeitpunkt entfällt die vorherige Prüfung auf das Vorhandensein der in Absatz 2 Satz 1 genannten Gesteinsformationen durch die zuständige Behörde. Absatz 2 ist nicht mehr anzuwenden, wenn das Bundesamt für die Sicherheit der nuklearen Entsorgung zur Sicherung einer zukünftigen Erkundung oder Fortsetzung einer begonnenen Erkundung das Gebiet als zu schützendes Gebiet nach Absatz 5 bekannt gemacht hat, spätestens jedoch sechs Monate nach Inkrafttreten des Gesetzes nach § 15 Absatz 3.</w:t>
      </w:r>
    </w:p>
    <w:p>
      <w:r>
        <w:t xml:space="preserve">(4) Wird der Beginn von Bohrarbeiten, die in den in Absatz 3 Satz 1 Nummer 1 oder 2 genannten Gebieten durchgeführt werden oder sich auf solche Gebiete auswirken können, nach § 127 Absatz 1 Nummer 1 des Bundesberggesetzes der zuständigen Behörde angezeigt, so hat diese die Anzeige dem Bundesamt für die Sicherheit der nuklearen Entsorgung unverzüglich nach deren Eingang zu übermitteln.</w:t>
      </w:r>
    </w:p>
    <w:p>
      <w:r>
        <w:t xml:space="preserve">(5) Zur Sicherung einer zukünftigen Erkundung oder Fortsetzung einer begonnenen Erkundung kann das Bundesamt für die Sicherheit der nuklearen Entsorgung für die Dauer von höchstens zehn Jahren für bestimmte Gebiete untersagen, dass auf deren Flächen oder in deren Untergrund Veränderungen vorgenommen werden, die das jeweilige Vorhaben erheblich erschweren können. Es hat diese Bescheide im Bundesanzeiger bekannt zu machen. Vor Erlass des Bescheids sind die Gebietskörperschaften, deren Gebiet von der Festlegung betroffen wird, die zuständigen Bergbehörden sowie betroffene Grundstückseigentümer und betroffene Inhaber von Bergbauberechtigungen zu hören. Das Bundesamt für die Sicherheit der nuklearen Entsorgung kann in Einzelfällen Ausnahmen genehmigen, wenn die Untersagung im Einzelfall zu einer offenbar nicht beabsichtigten Härte führen würde und überwiegende öffentliche Belange nicht entgegenstehen. Eine zweimalige Verlängerung des Bescheids um jeweils höchstens zehn Jahre ist zulässig, wenn die Voraussetzungen nach Satz 1 fortbestehen.</w:t>
      </w:r>
    </w:p>
    <w:p>
      <w:r>
        <w:t xml:space="preserve">(6) § 9g Absatz 5 des Atomgesetzes gilt entsprechend.</w:t>
      </w:r>
    </w:p>
    <w:p>
      <w:r>
        <w:rPr>
          <w:color w:val="555555"/>
          <w:sz w:val="17"/>
        </w:rPr>
        <w:t xml:space="preserve">Zitiervorschlag: § 21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