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StandAG 2017 — Begriffsbestimmungen</w:t>
      </w:r>
    </w:p>
    <w:p>
      <w:r>
        <w:rPr>
          <w:color w:val="555555"/>
          <w:sz w:val="18"/>
        </w:rPr>
        <w:t xml:space="preserve">Standortauswahlgesetz</w:t>
      </w:r>
    </w:p>
    <w:p>
      <w:r>
        <w:rPr>
          <w:color w:val="555555"/>
          <w:sz w:val="18"/>
        </w:rPr>
        <w:t xml:space="preserve">Stand: 10.06.2019 (konsolidierte Textfassung, kein amtliches Inkrafttretensdatum)</w:t>
      </w:r>
    </w:p>
    <w:p>
      <w:r>
        <w:t xml:space="preserve">Im Sinne dieses Gesetzes sind</w:t>
      </w:r>
    </w:p>
    <w:p>
      <w:pPr>
        <w:ind w:left="420"/>
      </w:pPr>
      <w:r>
        <w:t xml:space="preserve">1. Endlagerung die Einlagerung radioaktiver Abfälle in eine Anlage des Bundes nach § 9a Absatz 3 Satz 1 des Atomgesetzes (Endlager), wobei eine Rückholung nicht beabsichtigt ist;</w:t>
      </w:r>
    </w:p>
    <w:p>
      <w:pPr>
        <w:ind w:left="420"/>
      </w:pPr>
      <w:r>
        <w:t xml:space="preserve">2. Erkundung die über- und untertägige Untersuchung des Untergrundes auf seine Eignung zur Einrichtung eines Endlagers für hochradioaktive Abfälle;</w:t>
      </w:r>
    </w:p>
    <w:p>
      <w:pPr>
        <w:ind w:left="420"/>
      </w:pPr>
      <w:r>
        <w:t xml:space="preserve">3. Rückholbarkeit die geplante technische Möglichkeit zum Entfernen der eingelagerten Abfallbehälter mit radioaktiven Abfällen während der Betriebsphase;</w:t>
      </w:r>
    </w:p>
    <w:p>
      <w:pPr>
        <w:ind w:left="420"/>
      </w:pPr>
      <w:r>
        <w:t xml:space="preserve">4. Bergung ungeplantes Herausholen von radioaktiven Abfällen aus einem Endlager;</w:t>
      </w:r>
    </w:p>
    <w:p>
      <w:pPr>
        <w:ind w:left="420"/>
      </w:pPr>
      <w:r>
        <w:t xml:space="preserve">5. Reversibilität die Möglichkeit der Umsteuerung im laufenden Verfahren zur Ermöglichung von Fehlerkorrekturen;</w:t>
      </w:r>
    </w:p>
    <w:p>
      <w:pPr>
        <w:ind w:left="420"/>
      </w:pPr>
      <w:r>
        <w:t xml:space="preserve">6. Gebiete sämtliche hinsichtlich ihrer Eignung als Endlagerstandort zu bewertenden räumlichen Bereiche innerhalb Deutschlands; ein Gebiet umfasst die übertägigen Flächen und die darunterliegenden untertägigen Gesteinsformationen;</w:t>
      </w:r>
    </w:p>
    <w:p>
      <w:pPr>
        <w:ind w:left="420"/>
      </w:pPr>
      <w:r>
        <w:t xml:space="preserve">7. geologische Barrieren geologische Einheiten, die eine Ausbreitung von Radionukliden be- oder verhindern;</w:t>
      </w:r>
    </w:p>
    <w:p>
      <w:pPr>
        <w:ind w:left="420"/>
      </w:pPr>
      <w:r>
        <w:t xml:space="preserve">8. technische und geotechnische Barrieren künstlich erstellte Einheiten, die eine Ausbreitung von Radionukliden be- oder verhindern;</w:t>
      </w:r>
    </w:p>
    <w:p>
      <w:pPr>
        <w:ind w:left="420"/>
      </w:pPr>
      <w:r>
        <w:t xml:space="preserve">9. einschlusswirksamer Gebirgsbereich der Teil eines Gebirges, der bei Endlagersystemen, die wesentlich auf geologischen Barrieren beruhen, im Zusammenwirken mit den technischen und geotechnischen Verschlüssen den sicheren Einschluss der radioaktiven Abfälle in einem Endlager gewährleistet;</w:t>
      </w:r>
    </w:p>
    <w:p>
      <w:pPr>
        <w:ind w:left="420"/>
      </w:pPr>
      <w:r>
        <w:t xml:space="preserve">10. Einlagerungsbereich der räumliche Bereich des Gebirges, in den die radioaktiven Abfälle eingelagert werden sollen; falls das Einschlussvermögen des Endlagersystems wesentlich auf technischen und geotechnischen Barrieren beruht, zählt hierzu auch der Bereich des Gebirges, der die Funktionsfähigkeit und den Erhalt dieser Barrieren gewährleistet;</w:t>
      </w:r>
    </w:p>
    <w:p>
      <w:pPr>
        <w:ind w:left="420"/>
      </w:pPr>
      <w:r>
        <w:t xml:space="preserve">11. Endlagersystem das den sicheren Einschluss der radioaktiven Abfälle durch das Zusammenwirken der verschiedenen Komponenten bewirkende System, das aus dem Endlagerbergwerk, den Barrieren und den das Endlagerbergwerk und die Barrieren umgebenden oder überlagernden geologischen Schichten bis zur Erdoberfläche besteht, soweit sie zur Sicherheit des Endlagers beitragen;</w:t>
      </w:r>
    </w:p>
    <w:p>
      <w:pPr>
        <w:ind w:left="420"/>
      </w:pPr>
      <w:r>
        <w:t xml:space="preserve">12. Endlagerbereich der Gebirgsbereich, in dem ein Endlagersystem realisiert ist oder realisiert werden soll;</w:t>
      </w:r>
    </w:p>
    <w:p>
      <w:pPr>
        <w:ind w:left="420"/>
      </w:pPr>
      <w:r>
        <w:t xml:space="preserve">13. Deckgebirge der Teil des Gebirges oberhalb des einschlusswirksamen Gebirgsbereichs und bei Endlagersystemen, die auf technischen und geotechnischen Barrieren beruhen, oberhalb des Einlagerungsbereichs;</w:t>
      </w:r>
    </w:p>
    <w:p>
      <w:pPr>
        <w:ind w:left="420"/>
      </w:pPr>
      <w:r>
        <w:t xml:space="preserve">14. Prüfkriterien die nach § 16 Absatz 2, § 17 Absatz 4 und § 18 Absatz 2 für die Bewertung der Ergebnisse der untertägigen Erkundung aufzustellenden und anzuwendenden standortspezifischen Prüfmaßstäbe;</w:t>
      </w:r>
    </w:p>
    <w:p>
      <w:pPr>
        <w:ind w:left="420"/>
      </w:pPr>
      <w:r>
        <w:t xml:space="preserve">15. Sicherheitsanforderungen die nach § 26 Absatz 3 durch Rechtsverordnung zu erlassenden Bestimmungen, die festlegen, welches Sicherheitsniveau ein Endlager für hochradioaktive Abfälle in tiefen geologischen Formationen zur Erfüllung der atomrechtlichen Anforderungen einzuhalten hat;</w:t>
      </w:r>
    </w:p>
    <w:p>
      <w:pPr>
        <w:ind w:left="420"/>
      </w:pPr>
      <w:r>
        <w:t xml:space="preserve">16. vorläufige Sicherheitsuntersuchungen die auf der Grundlage von § 27 und einer Rechtsverordnung nach § 27 Absatz 6 durchzuführenden Untersuchungen, die in den Verfahrensschritten nach § 14 Absatz 1 auf Grundlage der erhobenen, bei den Behörden des Bundes und der Länder vorliegenden Daten, nach § 16 Absatz 1 auf Grundlage der Ergebnisse der übertägigen Erkundung und nach § 18 Absatz 1 auf Grundlage der Ergebnisse der untertägigen Erkundung sowie auf Grundlage des dem jeweiligen Verfahrensstand entsprechenden konkretisierten Endlagerkonzeptes anzufertigen sind;</w:t>
      </w:r>
    </w:p>
    <w:p>
      <w:pPr>
        <w:ind w:left="420"/>
      </w:pPr>
      <w:r>
        <w:t xml:space="preserve">17. Erkundungsprogramme die Gesamtheit der nach § 15 Absatz 4 und § 17 Absatz 4 für die über- und untertägige Erkundung vorzusehenden Maßnahmen, die dazu dienen, die standortbezogenen geowissenschaftlichen Daten zu ermitteln, die für die erneute Anwendung der geowissenschaftlichen Anforderungen und Kriterien und zur Durchführung der vorläufigen Sicherheitsuntersuchungen jeweils erforderlich sind;</w:t>
      </w:r>
    </w:p>
    <w:p>
      <w:pPr>
        <w:ind w:left="420"/>
      </w:pPr>
      <w:r>
        <w:t xml:space="preserve">18. Teilgebiete die nach § 13 zu ermittelnden Gebiete, die günstige geologische Voraussetzungen für die sichere Endlagerung hochradioaktiver Abfälle erwarten lassen;</w:t>
      </w:r>
    </w:p>
    <w:p>
      <w:pPr>
        <w:ind w:left="420"/>
      </w:pPr>
      <w:r>
        <w:t xml:space="preserve">19. Standortregionen die nach § 14 zu ermittelnden Gebiete, die innerhalb der Teilgebiete liegen und die für die übertägige Erkundung zur Ermittlung der in diesen Regionen liegenden möglicherweise geeigneten Endlagerstandorte in Betracht kommen;</w:t>
      </w:r>
    </w:p>
    <w:p>
      <w:pPr>
        <w:ind w:left="420"/>
      </w:pPr>
      <w:r>
        <w:t xml:space="preserve">20. Standorte die nach § 16 Absatz 2 zu ermittelnden Gebiete, die innerhalb der Standortregionen liegen und für die untertägige Erkundung zur Ermittlung ihrer Eignung als Endlagerstandort in Betracht kommen.</w:t>
      </w:r>
    </w:p>
    <w:p>
      <w:r>
        <w:rPr>
          <w:color w:val="555555"/>
          <w:sz w:val="17"/>
        </w:rPr>
        <w:t xml:space="preserve">Zitiervorschlag: § 2 StandAG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https://recht.nulegal.eu/gesetze/StandAG%202017/2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