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StandAG 2017 — Erkundung; Verhältnis zur Raumordnung</w:t>
      </w:r>
    </w:p>
    <w:p>
      <w:r>
        <w:rPr>
          <w:color w:val="555555"/>
          <w:sz w:val="18"/>
        </w:rPr>
        <w:t xml:space="preserve">Standortauswahlgesetz</w:t>
      </w:r>
    </w:p>
    <w:p>
      <w:r>
        <w:rPr>
          <w:color w:val="555555"/>
          <w:sz w:val="18"/>
        </w:rPr>
        <w:t xml:space="preserve">Stand: 10.06.2019 (konsolidierte Textfassung, kein amtliches Inkrafttretensdatum)</w:t>
      </w:r>
    </w:p>
    <w:p>
      <w:r>
        <w:t xml:space="preserve">(1) Für die Erkundung sind die §§ 3 bis 29, 39, 40, 48 und 50 bis 104, 106 und 145 bis 148 des Bundesberggesetzes entsprechend anzuwenden. Im Übrigen bleiben die Vorschriften des Bundesberggesetzes unberührt. Für die Anwendung dieser Vorschriften gilt, dass die übertägige und untertägige Erkundung aus zwingenden Gründen des öffentlichen Interesses erfolgt. Für die Erkundung nach diesem Gesetz und die jeweiligen Standortentscheidungen gelten die §§ 9d bis 9f sowie § 9g Absatz 3 bis 5 des Atomgesetzes.</w:t>
      </w:r>
    </w:p>
    <w:p>
      <w:r>
        <w:t xml:space="preserve">(2) Die Entscheidungen im Standortauswahlverfahren einschließlich der Zulassungen und Erlaubnisse nach Absatz 1 haben Vorrang vor Landesplanungen und Bauleitplanungen.</w:t>
      </w:r>
    </w:p>
    <w:p>
      <w:r>
        <w:t xml:space="preserve">(3) Bei der Durchführung seiner Tätigkeiten arbeitet der Vorhabenträger mit Forschungs- und Beratungseinrichtungen im Geschäftsbereich des Bundesministeriums für Bildung und Forschung und des Bundesministeriums für Wirtschaft und Energie zusammen und kann wissenschaftliche Erkenntnisse anderer wissenschaftlicher Einrichtungen heranziehen. Soweit für die Erkundung und den Standortvergleich Geodaten, insbesondere geowissenschaftliche und hydrogeologische Daten, die bei den zuständigen Landesbehörden vorhanden sind, benötigt werden, sind diese Daten dem Vorhabenträger unentgeltlich für die Zwecke des Standortauswahlverfahrens zur Verfügung zu stellen; dies gilt auch für Daten, an denen Rechte Dritter bestehen. Zu den zur Verfügung zu stellenden Daten gehören auch Informationen über die nach § 21 zugelassenen Vorhaben.</w:t>
      </w:r>
    </w:p>
    <w:p>
      <w:r>
        <w:t xml:space="preserve">(4) Die Funktionen der Länder als amtliche Sachverständige und Träger öffentlicher Belange bleiben unberührt.</w:t>
      </w:r>
    </w:p>
    <w:p>
      <w:r>
        <w:rPr>
          <w:color w:val="555555"/>
          <w:sz w:val="17"/>
        </w:rPr>
        <w:t xml:space="preserve">Zitiervorschlag: § 12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