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StandAG 2017 — Fachkonferenz Rat der Regionen</w:t>
      </w:r>
    </w:p>
    <w:p>
      <w:r>
        <w:rPr>
          <w:color w:val="555555"/>
          <w:sz w:val="18"/>
        </w:rPr>
        <w:t xml:space="preserve">Standortauswahlgesetz</w:t>
      </w:r>
    </w:p>
    <w:p>
      <w:r>
        <w:rPr>
          <w:color w:val="555555"/>
          <w:sz w:val="18"/>
        </w:rPr>
        <w:t xml:space="preserve">Stand: 10.01.2020 (konsolidierte Textfassung, kein amtliches Inkrafttretensdatum)</w:t>
      </w:r>
    </w:p>
    <w:p>
      <w:r>
        <w:t xml:space="preserve">(1) Das Bundesamt für die Sicherheit der nuklearen Entsorgung richtet nach Bildung der Regionalkonferenzen eine Fachkonferenz Rat der Regionen ein. Diese setzt sich aus Vertretern der Regionalkonferenzen und von Gemeinden, in denen radioaktive Abfälle zwischengelagert werden, zusammen. Die Anzahl aller Vertreter der Zwischenlagerstandorte soll der Anzahl der delegierten Vertreter einer Regionalkonferenz entsprechen. Die Fachkonferenz Rat der Regionen soll die Anzahl von 30 Teilnehmern nicht überschreiten.</w:t>
      </w:r>
    </w:p>
    <w:p>
      <w:r>
        <w:t xml:space="preserve">(2) Die Fachkonferenz Rat der Regionen begleitet die Prozesse der Regionalkonferenzen aus überregionaler Sicht und leistet Hilfestellung beim Ausgleich widerstreitender Interessen der Standortregionen.</w:t>
      </w:r>
    </w:p>
    <w:p>
      <w:r>
        <w:t xml:space="preserve">(3) Die Fachkonferenz Rat der Regionen wird von einer Geschäftsstelle unterstützt, die beim Bundesamt für die Sicherheit der nuklearen Entsorgung eingerichtet wird.</w:t>
      </w:r>
    </w:p>
    <w:p>
      <w:r>
        <w:rPr>
          <w:color w:val="555555"/>
          <w:sz w:val="17"/>
        </w:rPr>
        <w:t xml:space="preserve">Zitiervorschlag: § 11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