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StabiRatG — Veröffentlichung der Beschlüsse und Unterrichtung der Parlamente</w:t>
      </w:r>
    </w:p>
    <w:p>
      <w:r>
        <w:rPr>
          <w:color w:val="555555"/>
          <w:sz w:val="18"/>
        </w:rPr>
        <w:t xml:space="preserve">Stabilitätsratsgesetz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(1) Der Stabilitätsrat veröffentlicht seine Beschlüsse nach § 2 Absatz 2 und die ihnen zugrundeliegenden Beratungsunterlagen.</w:t>
      </w:r>
    </w:p>
    <w:p>
      <w:r>
        <w:t xml:space="preserve">(2) Die Bundesregierung und die Landesregierungen leiten die Beschlüsse des Stabilitätsrates und die ihnen zugrundeliegenden Beratungsunterlagen sowie die Stellungnahmen des Beirats nach § 8 Absatz 3 Satz 1 den jeweiligen Parlamenten zu.</w:t>
      </w:r>
    </w:p>
    <w:p>
      <w:r>
        <w:rPr>
          <w:color w:val="555555"/>
          <w:sz w:val="17"/>
        </w:rPr>
        <w:t xml:space="preserve">Zitiervorschlag: § 9 StabiRatG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https://recht.nulegal.eu/gesetze/StabiRatG/9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