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StabiRatG — Überwachung der Einhaltung der grundgesetzlichen Verschuldungsregel</w:t>
      </w:r>
    </w:p>
    <w:p>
      <w:r>
        <w:rPr>
          <w:color w:val="555555"/>
          <w:sz w:val="18"/>
        </w:rPr>
        <w:t xml:space="preserve">Stabilitätsratsgesetz</w:t>
      </w:r>
    </w:p>
    <w:p>
      <w:r>
        <w:rPr>
          <w:color w:val="555555"/>
          <w:sz w:val="18"/>
        </w:rPr>
        <w:t xml:space="preserve">Stand: 16.12.2022 (konsolidierte Textfassung, kein amtliches Inkrafttretensdatum)</w:t>
      </w:r>
    </w:p>
    <w:p>
      <w:r>
        <w:t xml:space="preserve">(1) Der Stabilitätsrat überwacht die Einhaltung der Verschuldungsregel des Artikels 109 Absatz 3 des Grundgesetzes durch den Bund und jedes einzelne Land für das jeweils abgelaufene, das aktuelle und das darauffolgende Jahr.</w:t>
      </w:r>
    </w:p>
    <w:p>
      <w:r>
        <w:t xml:space="preserve">(2) Der Stabilitätsrat überprüft jährlich die von jeder Gebietskörperschaft ermittelten Ergebnisse eines zwischen Bund und Ländern abgestimmten Analysesystems, das sich an den Vorgaben und Verfahren aus Rechtsakten aufgrund des Vertrages über die Arbeitsweise der Europäischen Union zur Einhaltung der Haushaltsdisziplin orientiert. Grundlage ist ein einheitliches Konjunkturbereinigungsverfahren.</w:t>
      </w:r>
    </w:p>
    <w:p>
      <w:r>
        <w:rPr>
          <w:color w:val="555555"/>
          <w:sz w:val="17"/>
        </w:rPr>
        <w:t xml:space="preserve">Zitiervorschlag: § 6 StabiRatG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https://recht.nulegal.eu/gesetze/StabiRatG/6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