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StabMechG — Parlamentsvorbehalt für Entscheidungen in der Europäischen Finanzstabilisierungsfazilität</w:t>
      </w:r>
    </w:p>
    <w:p>
      <w:r>
        <w:rPr>
          <w:color w:val="555555"/>
          <w:sz w:val="18"/>
        </w:rPr>
        <w:t xml:space="preserve">Stabilisierungsmechanismusgesetz</w:t>
      </w:r>
    </w:p>
    <w:p>
      <w:r>
        <w:rPr>
          <w:color w:val="555555"/>
          <w:sz w:val="18"/>
        </w:rPr>
        <w:t xml:space="preserve">Stand: 01.01.2024 (konsolidierte Textfassung, kein amtliches Inkrafttretensdatum)</w:t>
      </w:r>
    </w:p>
    <w:p>
      <w:r>
        <w:t xml:space="preserve">(1) Die Bundesregierung darf in Angelegenheiten der Europäischen Finanzstabilisierungsfazilität einem Beschlussvorschlag, der die haushaltspolitische Gesamtverantwortung des Deutschen Bundestages berührt, durch ihren Vertreter nur zustimmen oder sich bei einer Beschlussfassung enthalten, nachdem der Deutsche Bundestag hierzu einen zustimmenden Beschluss gefasst hat. Ohne einen solchen Beschluss des Deutschen Bundestages muss der deutsche Vertreter den Beschlussvorschlag ablehnen.</w:t>
      </w:r>
    </w:p>
    <w:p>
      <w:r>
        <w:t xml:space="preserve">(2) Die haushaltspolitische Gesamtverantwortung ist insbesondere berührt</w:t>
      </w:r>
    </w:p>
    <w:p>
      <w:pPr>
        <w:ind w:left="420"/>
      </w:pPr>
      <w:r>
        <w:t xml:space="preserve">1. beim Abschluss einer Vereinbarung über eine Notmaßnahme der Europäischen Finanzstabilisierungsfazilität auf Antrag eines Mitgliedstaates des Euro-Währungsgebietes,</w:t>
      </w:r>
    </w:p>
    <w:p>
      <w:pPr>
        <w:ind w:left="420"/>
      </w:pPr>
      <w:r>
        <w:t xml:space="preserve">2. bei einer wesentlichen Änderung einer Vereinbarung über eine Notmaßnahme, einer Änderung ihrer Instrumente und Bedingungen und bei einer Änderung, die Auswirkungen auf die Höhe des deutschen Gewährleistungsrahmens hat,</w:t>
      </w:r>
    </w:p>
    <w:p>
      <w:pPr>
        <w:ind w:left="420"/>
      </w:pPr>
      <w:r>
        <w:t xml:space="preserve">3. bei Änderungen des Rahmenvertrags der Europäischen Finanzstabilisierungsfazilität,</w:t>
      </w:r>
    </w:p>
    <w:p>
      <w:pPr>
        <w:ind w:left="420"/>
      </w:pPr>
      <w:r>
        <w:t xml:space="preserve">4. bei der Überführung von Rechten und Verpflichtungen aus der Europäischen Finanzstabilisierungsfazilität in den Europäischen Stabilitätsmechanismus und</w:t>
      </w:r>
    </w:p>
    <w:p>
      <w:pPr>
        <w:ind w:left="420"/>
      </w:pPr>
      <w:r>
        <w:t xml:space="preserve">5. bei der Annahme oder einer wesentlichen Änderung der Leitlinien des Direktoriums der Europäischen Finanzstabilisierungsfazilität durch die Bundesregierung.</w:t>
      </w:r>
    </w:p>
    <w:p>
      <w:r>
        <w:t xml:space="preserve">(3) Soweit ein Aufkauf von Staatsanleihen auf dem Sekundärmarkt geplant ist, kann die Bundesregierung die besondere Vertraulichkeit der Angelegenheit geltend machen. In diesem Fall werden die in Absatz 1 bezeichneten Beteiligungsrechte des Deutschen Bundestages von einem Sondergremium wahrgenommen, welches sich aus ordentlichen Mitgliedern des Haushaltsausschusses zusammensetzt und vom Haushaltsausschuss für eine Legislaturperiode mit der Mehrheit seiner Mitglieder benannt wird. Die Anzahl der Mitglieder und eine gleich große Anzahl von Stellvertretern ist die kleinstmögliche, bei der jede Fraktion zumindest ein Mitglied benennen kann, die Mehrheitsverhältnisse gewahrt werden und bei der die Zusammensetzung des Plenums widergespiegelt wird. Das Sondergremium kann der Annahme der besonderen Vertraulichkeit widersprechen. Im Falle des Widerspruchs nimmt der Deutsche Bundestag die in Absatz 1 bezeichneten Beteiligungsrechte wahr. Das Sondergremium berichtet dem Deutschen Bundestag über Inhalt und Ergebnis seiner Beratungen unverzüglich nach Fortfall der besonderen Vertraulichkeit.</w:t>
      </w:r>
    </w:p>
    <w:p>
      <w:r>
        <w:rPr>
          <w:color w:val="555555"/>
          <w:sz w:val="17"/>
        </w:rPr>
        <w:t xml:space="preserve">Zitiervorschlag: § 3 StabMechG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https://recht.nulegal.eu/gesetze/StabMechG/3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