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StabMechG — Haushalts- und Stabilitätsverantwortung</w:t>
      </w:r>
    </w:p>
    <w:p>
      <w:r>
        <w:rPr>
          <w:color w:val="555555"/>
          <w:sz w:val="18"/>
        </w:rPr>
        <w:t xml:space="preserve">Stabilisierungsmechanismusgesetz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Deutsche Bundestag nimmt in Angelegenheiten der Europäischen Finanzstabilisierungsfazilität zur Durchführung von Notmaßnahmen zugunsten eines Mitgliedstaates des Euro-Währungsgebietes seine Haushaltsverantwortung und seine Verantwortung für die Fortentwicklung der Stabilität der Währungsunion insbesondere nach Maßgabe der folgenden Bestimmungen wahr.</w:t>
      </w:r>
    </w:p>
    <w:p>
      <w:r>
        <w:t xml:space="preserve">(2) Der Deutsche Bundestag berät und beschließt über Vorlagen nach diesem Gesetz in angemessener Frist. Dabei berücksichtigt er die für die Beschlussfassung auf der Ebene des Euro-Währungsgebietes maßgeblichen Fristvorgaben.</w:t>
      </w:r>
    </w:p>
    <w:p>
      <w:r>
        <w:rPr>
          <w:color w:val="555555"/>
          <w:sz w:val="17"/>
        </w:rPr>
        <w:t xml:space="preserve">Zitiervorschlag: § 2 StabMechG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https://recht.nulegal.eu/gesetze/StabMechG/2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