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StabG</w:t>
      </w:r>
    </w:p>
    <w:p>
      <w:r>
        <w:rPr>
          <w:color w:val="555555"/>
          <w:sz w:val="18"/>
        </w:rPr>
        <w:t xml:space="preserve">Gesetz zur Förderung der Stabilität und des Wachstums der Wirtschaft</w:t>
      </w:r>
    </w:p>
    <w:p>
      <w:r>
        <w:rPr>
          <w:color w:val="555555"/>
          <w:sz w:val="18"/>
        </w:rPr>
        <w:t xml:space="preserve">Stand: 10.06.2019 (konsolidierte Textfassung, kein amtliches Inkrafttretensdatum)</w:t>
      </w:r>
    </w:p>
    <w:p>
      <w:r>
        <w:t xml:space="preserve">(1) Der Haushaltswirtschaft des Bundes ist eine fünfjährige Finanzplanung zugrunde zu legen. In ihr sind Umfang und Zusammensetzung der voraussichtlichen Ausgaben und die Deckungsmöglichkeiten in ihren Wechselbeziehungen zu der mutmaßlichen Entwicklung des gesamtwirtschaftlichen Leistungsvermögens darzustellen, gegebenenfalls durch Alternativrechnungen.</w:t>
      </w:r>
    </w:p>
    <w:p>
      <w:r>
        <w:t xml:space="preserve">(2) Der Finanzplan ist vom Bundesministerium der Finanzen aufzustellen und zu begründen. Er wird von der Bundesregierung beschlossen und Bundestag und Bundesrat vorgelegt.</w:t>
      </w:r>
    </w:p>
    <w:p>
      <w:r>
        <w:t xml:space="preserve">(3) Der Finanzplan ist jährlich der Entwicklung anzupassen und fortzuführen.</w:t>
      </w:r>
    </w:p>
    <w:p>
      <w:r>
        <w:rPr>
          <w:color w:val="555555"/>
          <w:sz w:val="17"/>
        </w:rPr>
        <w:t xml:space="preserve">Zitiervorschlag: § 9 StabG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https://recht.nulegal.eu/gesetze/StabG/9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