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Konjunkturausgleichsrücklage ist bei der Deutschen Bundesbank anzusammeln. Mittel der Konjunkturausgleichsrücklage dürfen nur zur Deckung zusätzlicher Ausgaben gemäß § 5 Abs. 3 und § 6 Abs. 2 verwendet werden.</w:t>
      </w:r>
    </w:p>
    <w:p>
      <w:r>
        <w:t xml:space="preserve">(2) Ob und in welchem Ausmaß über Mittel der Konjunkturausgleichsrücklage bei der Ausführung des Bundeshaushaltsplans verfügt werden soll, entscheidet die Bundesregierung; § 6 Abs. 1 Satz 2 ist anzuwenden.</w:t>
      </w:r>
    </w:p>
    <w:p>
      <w:r>
        <w:rPr>
          <w:color w:val="555555"/>
          <w:sz w:val="17"/>
        </w:rPr>
        <w:t xml:space="preserve">Zitiervorschlag: § 7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