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StabG</w:t>
      </w:r>
    </w:p>
    <w:p>
      <w:r>
        <w:rPr>
          <w:color w:val="555555"/>
          <w:sz w:val="18"/>
        </w:rPr>
        <w:t xml:space="preserve">Gesetz zur Förderung der Stabilität und des Wachstums der 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Bundeshaushaltsplan sind Umfang und Zusammensetzung der Ausgaben und der Ermächtigungen zum Eingehen von Verpflichtungen zu Lasten künftiger Rechnungsjahre so zu bemessen, wie es zur Erreichung der Ziele des § 1 erforderlich ist.</w:t>
      </w:r>
    </w:p>
    <w:p>
      <w:r>
        <w:t xml:space="preserve">(2) Bei einer die volkswirtschaftliche Leistungsfähigkeit übersteigenden Nachfrageausweitung sollen Mittel zur zusätzlichen Tilgung von Schulden bei der Deutschen Bundesbank oder zur Zuführung an eine Konjunkturausgleichsrücklage veranschlagt werden.</w:t>
      </w:r>
    </w:p>
    <w:p>
      <w:r>
        <w:t xml:space="preserve">(3) Bei einer die Ziele des § 1 gefährdenden Abschwächung der allgemeinen Wirtschaftstätigkeit sollen zusätzlich erforderliche Deckungsmittel zunächst der Konjunkturausgleichsrücklage entnommen werden.</w:t>
      </w:r>
    </w:p>
    <w:p>
      <w:r>
        <w:rPr>
          <w:color w:val="555555"/>
          <w:sz w:val="17"/>
        </w:rPr>
        <w:t xml:space="preserve">Zitiervorschlag: § 5 StabG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