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am Tage nach seiner Verkündung in Kraft.</w:t>
      </w:r>
    </w:p>
    <w:p>
      <w:r>
        <w:t xml:space="preserve">(2) Die Vorschriften des § 26 Nr. 3 Buchstabe a und des § 27 Nr. 2 hinsichtlich des § 23a Abs. 1 Ziff. 2 Buchstabe k des Körperschaftsteuergesetzes treten am 1. Januar 1969 in Kraft.</w:t>
      </w:r>
    </w:p>
    <w:p>
      <w:r>
        <w:rPr>
          <w:color w:val="555555"/>
          <w:sz w:val="17"/>
        </w:rPr>
        <w:t xml:space="preserve">Zitiervorschlag: § 33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