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StabG</w:t>
      </w:r>
    </w:p>
    <w:p>
      <w:r>
        <w:rPr>
          <w:color w:val="555555"/>
          <w:sz w:val="18"/>
        </w:rPr>
        <w:t xml:space="preserve">Gesetz zur Förderung der Stabilität und des Wachstums der 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Falle der Gefährdung eines der Ziele des § 1 stellt die Bundesregierung Orientierungsdaten für ein gleichzeitiges aufeinander abgestimmtes Verhalten (konzertierte Aktion) der Gebietskörperschaften, Gewerkschaften und Unternehmensverbände zur Erreichung der Ziele des § 1 zur Verfügung. Diese Orientierungsdaten enthalten insbesondere eine Darstellung der gesamtwirtschaftlichen Zusammenhänge im Hinblick auf die gegebene Situation.</w:t>
      </w:r>
    </w:p>
    <w:p>
      <w:r>
        <w:t xml:space="preserve">(2) Das Bundesministerium für Wirtschaft und Energie hat die Orientierungsdaten auf Verlangen eines der Beteiligten zu erläutern.</w:t>
      </w:r>
    </w:p>
    <w:p>
      <w:r>
        <w:rPr>
          <w:color w:val="555555"/>
          <w:sz w:val="17"/>
        </w:rPr>
        <w:t xml:space="preserve">Zitiervorschlag: § 3 StabG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https://recht.nulegal.eu/gesetze/StabG/3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