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StabG</w:t>
      </w:r>
    </w:p>
    <w:p>
      <w:r>
        <w:rPr>
          <w:color w:val="555555"/>
          <w:sz w:val="18"/>
        </w:rPr>
        <w:t xml:space="preserve">Gesetz zur Förderung der Stabilität und des Wachstums der 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Maßnahmen nach den §§ 20 bis 23 ist der Grundsatz der Gleichrangigkeit der Aufgaben von Bund, Ländern und Gemeinden zu beachten.</w:t>
      </w:r>
    </w:p>
    <w:p>
      <w:r>
        <w:t xml:space="preserve">(2) Die besonderen Verhältnisse der Länder Berlin, Bremen und Hamburg, die gleichzeitig Landesaufgaben und Kommunalaufgaben zu erfüllen haben, sind zu berücksichtigen.</w:t>
      </w:r>
    </w:p>
    <w:p>
      <w:r>
        <w:rPr>
          <w:color w:val="555555"/>
          <w:sz w:val="17"/>
        </w:rPr>
        <w:t xml:space="preserve">Zitiervorschlag: § 24 StabG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