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StabG</w:t>
      </w:r>
    </w:p>
    <w:p>
      <w:r>
        <w:rPr>
          <w:color w:val="555555"/>
          <w:sz w:val="18"/>
        </w:rPr>
        <w:t xml:space="preserve">Gesetz zur Förderung der Stabilität und des Wachstums der Wirtschaft</w:t>
      </w:r>
    </w:p>
    <w:p>
      <w:r>
        <w:rPr>
          <w:color w:val="555555"/>
          <w:sz w:val="18"/>
        </w:rPr>
        <w:t xml:space="preserve">Stand: 10.06.2019 (konsolidierte Textfassung, kein amtliches Inkrafttretensdatum)</w:t>
      </w:r>
    </w:p>
    <w:p>
      <w:r>
        <w:t xml:space="preserve">(1) In Rechtsverordnungen nach § 19 kann vorgesehen werden, daß</w:t>
      </w:r>
    </w:p>
    <w:p>
      <w:pPr>
        <w:ind w:left="420"/>
      </w:pPr>
      <w:r>
        <w:t xml:space="preserve">1. für einen zu bestimmenden Zeitraum die Kreditaufnahme durch die in § 19 bezeichneten Stellen auf einen Höchstbetrag begrenzt wird;</w:t>
      </w:r>
    </w:p>
    <w:p>
      <w:pPr>
        <w:ind w:left="420"/>
      </w:pPr>
      <w:r>
        <w:t xml:space="preserve">2. im Rahmen der nach Nummer 1 festgesetzten Höchstbeträge Kredite bestimmter Art oder Höhe, insbesondere Anleihen oder Schuldscheindarlehen, nur nach Maßgabe eines Zeitplans und nur unter Einhaltung von Kreditbedingungen (§ 22 Abs. 1 und 2) aufgenommen werden dürfen.</w:t>
      </w:r>
    </w:p>
    <w:p>
      <w:r>
        <w:t xml:space="preserve">(2) Der Höchstbetrag nach Absatz 1 Nr. 1 muß für die einzelne Stelle für ein Haushaltsjahr mindestens 80 vom Hundert der Summe betragen, die sie im Durchschnitt der letzten fünf statistisch erfaßten Haushaltsjahre vor Erlaß der Rechtsverordnung als Kredit aufgenommen hat; Kassen- und Betriebsmittelkredite, Kredite, die die Deutsche Bundesbank oder eine in § 19 bezeichnete Stelle gewährt hat, sowie Kredite für die in § 19 Satz 2 bezeichneten Zwecke bleiben hierbei unberücksichtigt. Zum Ausgleich von Schwankungen im Kreditbedarf der Gemeinden, Gemeindeverbände und Zweckverbände kann für diese der Höchstbetrag auf 70 vom Hundert gekürzt werden. Die hierdurch freiwerdenden Beträge sind von den Ländern solchen Gemeinden, Gemeindeverbänden und Zweckverbänden zuzuweisen, die besonders dringende Investitionsaufgaben zu erfüllen haben.</w:t>
      </w:r>
    </w:p>
    <w:p>
      <w:r>
        <w:t xml:space="preserve">(3) In Rechtsverordnungen nach § 19 ist zu bestimmen, inwieweit Kreditaufnahmen Dritter, die wirtschaftlich der Kreditaufnahme einer der in § 19 bezeichneten Stellen gleichkommen, auf den Höchstbetrag nach Absatz 1 Nr. 1 anzurechnen sind. Insbesondere sind Kreditaufnahmen Dritter zu berücksichtigen, soweit diese Aufgaben der Finanzierung für eine der in § 19 bezeichneten Stellen wahrnehmen oder soweit eine solche Stelle die Kreditaufnahme durch Zinsverbilligungsmittel oder Zuwendungen gleicher Wirkung fördert.</w:t>
      </w:r>
    </w:p>
    <w:p>
      <w:r>
        <w:t xml:space="preserve">(4) Rechtsverordnungen nach § 19 sind auf längstens ein Jahr zu befristen.</w:t>
      </w:r>
    </w:p>
    <w:p>
      <w:r>
        <w:t xml:space="preserve">(5) Rechtsverordnungen nach § 19 sind unverzüglich nach ihrer Verkündung dem Bundestag mitzuteilen. Sie sind unverzüglich aufzuheben, wenn es der Bundestag binnen sechs Wochen nach ihrer Verkündung verlangt.</w:t>
      </w:r>
    </w:p>
    <w:p>
      <w:r>
        <w:rPr>
          <w:color w:val="555555"/>
          <w:sz w:val="17"/>
        </w:rPr>
        <w:t xml:space="preserve">Zitiervorschlag: § 20 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