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Gemeinden und Gemeindeverbände haben bei ihrer Haushaltswirtschaft den Zielen des § 1 Rechnung zu tragen.</w:t>
      </w:r>
    </w:p>
    <w:p>
      <w:r>
        <w:t xml:space="preserve">(2) Die Länder haben durch geeignete Maßnahme darauf hinzuwirken, daß die Haushaltswirtschaft der Gemeinden und Gemeindeverbände den konjunkturpolitischen Erfordernissen entspricht.</w:t>
      </w:r>
    </w:p>
    <w:p>
      <w:r>
        <w:rPr>
          <w:color w:val="555555"/>
          <w:sz w:val="17"/>
        </w:rPr>
        <w:t xml:space="preserve">Zitiervorschlag: § 16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