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StabG</w:t>
      </w:r>
    </w:p>
    <w:p>
      <w:r>
        <w:rPr>
          <w:color w:val="555555"/>
          <w:sz w:val="18"/>
        </w:rPr>
        <w:t xml:space="preserve">Gesetz zur Förderung der Stabilität und des Wachstums der 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5, 6 Abs. 1 und 2, §§ 7, 9 bis 11 sowie § 12 Abs. 1 gelten sinngemäß für die Haushaltswirtschaft der Länder. Die Regelung der Zuständigkeiten bleibt den Ländern überlassen.</w:t>
      </w:r>
    </w:p>
    <w:p>
      <w:r>
        <w:rPr>
          <w:color w:val="555555"/>
          <w:sz w:val="17"/>
        </w:rPr>
        <w:t xml:space="preserve">Zitiervorschlag: § 14 StabG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